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DD16" w14:textId="77777777" w:rsidR="00257B15" w:rsidRDefault="00D73D56">
      <w:pP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CameraORIENTA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on Web</w:t>
      </w:r>
    </w:p>
    <w:p w14:paraId="199743D3" w14:textId="77777777" w:rsidR="00257B15" w:rsidRDefault="00D73D56">
      <w:pP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un progetto dedicato agli studenti per orientarsi nel mondo del lavoro</w:t>
      </w:r>
    </w:p>
    <w:p w14:paraId="5B11BD48" w14:textId="318C8EEB" w:rsidR="00257B15" w:rsidRDefault="003D45F1">
      <w:pPr>
        <w:jc w:val="center"/>
      </w:pPr>
      <w:r>
        <w:rPr>
          <w:rFonts w:ascii="Verdana" w:eastAsia="Verdana" w:hAnsi="Verdana" w:cs="Verdana"/>
          <w:color w:val="000000"/>
          <w:sz w:val="22"/>
          <w:szCs w:val="22"/>
        </w:rPr>
        <w:t>I</w:t>
      </w:r>
      <w:r w:rsidR="00D73D56">
        <w:rPr>
          <w:rFonts w:ascii="Verdana" w:eastAsia="Verdana" w:hAnsi="Verdana" w:cs="Verdana"/>
          <w:color w:val="000000"/>
          <w:sz w:val="22"/>
          <w:szCs w:val="22"/>
        </w:rPr>
        <w:t>l 5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73D56">
        <w:rPr>
          <w:rFonts w:ascii="Verdana" w:eastAsia="Verdana" w:hAnsi="Verdana" w:cs="Verdana"/>
          <w:color w:val="000000"/>
          <w:sz w:val="22"/>
          <w:szCs w:val="22"/>
        </w:rPr>
        <w:t>novembre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si terrà il </w:t>
      </w:r>
      <w:r w:rsidR="00D73D56">
        <w:rPr>
          <w:rFonts w:ascii="Verdana" w:eastAsia="Verdana" w:hAnsi="Verdana" w:cs="Verdana"/>
          <w:color w:val="000000"/>
          <w:sz w:val="22"/>
          <w:szCs w:val="22"/>
        </w:rPr>
        <w:t>secondo appuntamento</w:t>
      </w:r>
    </w:p>
    <w:p w14:paraId="529765DF" w14:textId="77777777" w:rsidR="00257B15" w:rsidRDefault="00D73D56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Lucca, 29 ottobre 2020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Successo dell’iniziativa Camera ORIENTA on web alla quale hanno partecipato più di 300 studenti della provincia di Lucca.</w:t>
      </w:r>
    </w:p>
    <w:p w14:paraId="73B3F918" w14:textId="77777777" w:rsidR="003D45F1" w:rsidRDefault="00D73D56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L’evento dedicato agli studenti per il loro orientamento nel mondo del lavoro, si è tenuto martedì 27 ottobre, in modalità telematica tramite la piattaforma zoom affiancata con una diretta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facebook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dalla pagina dell’ente camerale, per venire incontro alle nuove disposizioni previste dal DPCM del 24 ottobre che ha previsto nuove indicazioni anche per le scuole.</w:t>
      </w:r>
    </w:p>
    <w:p w14:paraId="152BF960" w14:textId="37DEA6DB" w:rsidR="00257B15" w:rsidRDefault="00D73D56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All’evento sono intervenuti rappresentanti di Regione Toscana,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Anpal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Centro per l’impiego territoriale, ed è stata data ampia attenzione agli ITS - Istituti Tecnici Superiori della Regione, ovvero le scuole ad alta specializzazione tecnologica, nate per rispondere alla domanda di nuove ed elevate competenze tecniche e tecnologiche da parte delle imprese, che costituiscono il segmento di formazione terziaria non universitaria.</w:t>
      </w:r>
    </w:p>
    <w:p w14:paraId="530A97CA" w14:textId="6544048C" w:rsidR="00257B15" w:rsidRDefault="00D73D56">
      <w:pPr>
        <w:spacing w:before="240"/>
        <w:jc w:val="both"/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5 novembre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p.v. si terrà il secondo appuntamento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ITS Open Day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un’occasione unica per gli studenti interessati che avranno l’opportunità di conoscere e incontrare in stanze virtuali</w:t>
      </w:r>
      <w:r w:rsidR="003D45F1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con possibilità di interazione diretta</w:t>
      </w:r>
      <w:r w:rsidR="003D45F1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 referenti delle Fondazioni ITS: Fondazione ITS E.A.T. Eccellenza Agroalimentare Toscana Fondazione, ITS PRIME per la Manutenzione industriale Fondazione, ITS M.I.T.A. Made in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Italy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Tuscany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Academy, Fondazione ITS Energia e Ambiente, Fondazione VITA ITS per le nuove tecnologie della vita, Fondazione ITS ISYL per la Mobilità sostenibile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Italian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Super Yacht Life, Fondazione ITS TAB Turismo Arte e Beni culturali.</w:t>
      </w:r>
    </w:p>
    <w:p w14:paraId="586DF7E6" w14:textId="4B19449B" w:rsidR="00257B15" w:rsidRDefault="00D73D56">
      <w:pPr>
        <w:spacing w:before="240"/>
        <w:jc w:val="both"/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L’iniziativa, promossa da Unioncamere Toscana e realizzata dalla Camera di Commercio di Lucca con il coordinamento di Fondazione ISI, </w:t>
      </w:r>
      <w:r w:rsidR="003D45F1">
        <w:rPr>
          <w:rFonts w:ascii="Verdana" w:eastAsia="Verdana" w:hAnsi="Verdana" w:cs="Verdana"/>
          <w:bCs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i pone l’obiettivo di orientare le scelte di studio al fine di incrociare i fabbisogni di personale da parte delle imprese</w:t>
      </w:r>
      <w:r w:rsidR="003D45F1">
        <w:rPr>
          <w:rFonts w:ascii="Verdana" w:eastAsia="Verdana" w:hAnsi="Verdana" w:cs="Verdana"/>
          <w:bCs/>
          <w:color w:val="000000"/>
          <w:sz w:val="22"/>
          <w:szCs w:val="22"/>
        </w:rPr>
        <w:t xml:space="preserve">. Il progetto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rientra tra le attività prioritarie del Sistema camerale, grazie al suo ruolo di collegamento tra sistema formativo, mondo produttivo e valorizzazione del capitale umano.</w:t>
      </w:r>
    </w:p>
    <w:p w14:paraId="0DCC1264" w14:textId="77777777" w:rsidR="00257B15" w:rsidRDefault="00D73D56">
      <w:pPr>
        <w:spacing w:before="240"/>
        <w:jc w:val="both"/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primo incontro ha visto la partecipazione dei seguenti Istituti Scolastici: </w:t>
      </w:r>
      <w:r w:rsidR="00F4637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I.T.E.T “A. Benedetti” (Porcari),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Liceo </w:t>
      </w:r>
      <w:r w:rsidR="00F4637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Scientifico “E.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Majorana</w:t>
      </w:r>
      <w:r w:rsidR="00F46378">
        <w:rPr>
          <w:rFonts w:ascii="Verdana" w:eastAsia="Verdana" w:hAnsi="Verdana" w:cs="Verdana"/>
          <w:bCs/>
          <w:color w:val="000000"/>
          <w:sz w:val="22"/>
          <w:szCs w:val="22"/>
        </w:rPr>
        <w:t>” (Capannori)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“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Barga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” (Barga),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“C.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Piaggia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” (Viareggio)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“G.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Marconi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” (Seravezza)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I</w:t>
      </w:r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.I.S. “Don Lazzeri –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Stagi</w:t>
      </w:r>
      <w:proofErr w:type="spellEnd"/>
      <w:r w:rsidR="00016A22">
        <w:rPr>
          <w:rFonts w:ascii="Verdana" w:eastAsia="Verdana" w:hAnsi="Verdana" w:cs="Verdana"/>
          <w:bCs/>
          <w:color w:val="000000"/>
          <w:sz w:val="22"/>
          <w:szCs w:val="22"/>
        </w:rPr>
        <w:t>” (Pietrasanta)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Liceo Artistico </w:t>
      </w:r>
      <w:r w:rsidR="00D22011">
        <w:rPr>
          <w:rFonts w:ascii="Verdana" w:eastAsia="Verdana" w:hAnsi="Verdana" w:cs="Verdana"/>
          <w:bCs/>
          <w:color w:val="000000"/>
          <w:sz w:val="22"/>
          <w:szCs w:val="22"/>
        </w:rPr>
        <w:t>Musicale e Coreutico “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'A. Passaglia</w:t>
      </w:r>
      <w:r w:rsidR="00D22011">
        <w:rPr>
          <w:rFonts w:ascii="Verdana" w:eastAsia="Verdana" w:hAnsi="Verdana" w:cs="Verdana"/>
          <w:bCs/>
          <w:color w:val="000000"/>
          <w:sz w:val="22"/>
          <w:szCs w:val="22"/>
        </w:rPr>
        <w:t>” (Lucca)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sia collettivamente, come gruppo classi, sia individualmente, come singoli studenti.</w:t>
      </w:r>
    </w:p>
    <w:p w14:paraId="68EA4604" w14:textId="4E79155C" w:rsidR="00257B15" w:rsidRDefault="00D73D56">
      <w:pPr>
        <w:spacing w:before="240"/>
        <w:jc w:val="both"/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Molte altre scuole avevano aderito all’evento, ma a causa della pubblicazione del Dpcm 24 ottobre 2020 contenente le nuove misure per fronteggiare l'emergenza epidemiologica da Covid-19, si sono</w:t>
      </w:r>
      <w:r w:rsidR="003D45F1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dovute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tempestivamente riorganizza</w:t>
      </w:r>
      <w:r w:rsidR="003D45F1">
        <w:rPr>
          <w:rFonts w:ascii="Verdana" w:eastAsia="Verdana" w:hAnsi="Verdana" w:cs="Verdana"/>
          <w:bCs/>
          <w:color w:val="000000"/>
          <w:sz w:val="22"/>
          <w:szCs w:val="22"/>
        </w:rPr>
        <w:t>r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e con il ricorso alla DAD – Didattica a Distanza</w:t>
      </w:r>
      <w:r w:rsidR="003D45F1">
        <w:rPr>
          <w:rFonts w:ascii="Verdana" w:eastAsia="Verdana" w:hAnsi="Verdana" w:cs="Verdana"/>
          <w:bCs/>
          <w:color w:val="000000"/>
          <w:sz w:val="22"/>
          <w:szCs w:val="22"/>
        </w:rPr>
        <w:t>, 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non potendo presenziare a Camera Orienta on WEB in diretta, hanno comunque seguito in differita l’evento registrato, messo a disposizione sui social dall’ente camerale.</w:t>
      </w:r>
    </w:p>
    <w:p w14:paraId="7E8CF06D" w14:textId="77777777" w:rsidR="00257B15" w:rsidRDefault="00257B15">
      <w:pP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581" w:type="dxa"/>
        <w:tblLook w:val="0000" w:firstRow="0" w:lastRow="0" w:firstColumn="0" w:lastColumn="0" w:noHBand="0" w:noVBand="0"/>
      </w:tblPr>
      <w:tblGrid>
        <w:gridCol w:w="6015"/>
        <w:gridCol w:w="3566"/>
      </w:tblGrid>
      <w:tr w:rsidR="00257B15" w14:paraId="362CD06E" w14:textId="77777777">
        <w:trPr>
          <w:trHeight w:val="680"/>
        </w:trPr>
        <w:tc>
          <w:tcPr>
            <w:tcW w:w="6014" w:type="dxa"/>
            <w:shd w:val="clear" w:color="auto" w:fill="auto"/>
          </w:tcPr>
          <w:p w14:paraId="7FF071CA" w14:textId="77777777" w:rsidR="00257B15" w:rsidRDefault="00D73D56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464A5DAD" w14:textId="77777777" w:rsidR="00257B15" w:rsidRDefault="00D73D56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DF8831A" w14:textId="77777777" w:rsidR="00257B15" w:rsidRDefault="00D73D56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31CA3A56" w14:textId="77777777" w:rsidR="00257B15" w:rsidRDefault="003D45F1">
            <w:pPr>
              <w:jc w:val="right"/>
            </w:pPr>
            <w:hyperlink r:id="rId6">
              <w:r w:rsidR="00D73D56">
                <w:rPr>
                  <w:rStyle w:val="CollegamentoInternet"/>
                  <w:noProof/>
                </w:rPr>
                <w:drawing>
                  <wp:inline distT="0" distB="0" distL="0" distR="0" wp14:anchorId="1E841765" wp14:editId="4C8252BC">
                    <wp:extent cx="219075" cy="219075"/>
                    <wp:effectExtent l="0" t="0" r="0" b="0"/>
                    <wp:docPr id="1" name="image4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4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D73D5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D73D56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3EACD65B" wp14:editId="07A835A8">
                    <wp:extent cx="225425" cy="225425"/>
                    <wp:effectExtent l="0" t="0" r="0" b="0"/>
                    <wp:docPr id="2" name="image3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3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D73D5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D73D56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5B1F2447" wp14:editId="54BFA51D">
                    <wp:extent cx="229235" cy="228600"/>
                    <wp:effectExtent l="0" t="0" r="0" b="0"/>
                    <wp:docPr id="3" name="image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D73D56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572E23E6" wp14:editId="20240AA5">
                    <wp:extent cx="428625" cy="229235"/>
                    <wp:effectExtent l="0" t="0" r="0" b="0"/>
                    <wp:docPr id="4" name="image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age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7044E7F8" w14:textId="77777777" w:rsidR="00257B15" w:rsidRDefault="00257B15"/>
    <w:sectPr w:rsidR="00257B15">
      <w:headerReference w:type="default" r:id="rId13"/>
      <w:footerReference w:type="default" r:id="rId14"/>
      <w:pgSz w:w="11906" w:h="16838"/>
      <w:pgMar w:top="2268" w:right="1134" w:bottom="938" w:left="1134" w:header="851" w:footer="7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BDB3" w14:textId="77777777" w:rsidR="00777AD5" w:rsidRDefault="00777AD5">
      <w:r>
        <w:separator/>
      </w:r>
    </w:p>
  </w:endnote>
  <w:endnote w:type="continuationSeparator" w:id="0">
    <w:p w14:paraId="46D24C62" w14:textId="77777777" w:rsidR="00777AD5" w:rsidRDefault="0077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4078" w14:textId="77777777" w:rsidR="00257B15" w:rsidRDefault="00257B15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987FE34" w14:textId="77777777" w:rsidR="00257B15" w:rsidRDefault="00D73D56">
    <w:pP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012FFD17" w14:textId="77777777" w:rsidR="00257B15" w:rsidRDefault="00D73D56">
    <w:pP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290D19EC" w14:textId="77777777" w:rsidR="00257B15" w:rsidRDefault="00257B15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187C" w14:textId="77777777" w:rsidR="00777AD5" w:rsidRDefault="00777AD5">
      <w:r>
        <w:separator/>
      </w:r>
    </w:p>
  </w:footnote>
  <w:footnote w:type="continuationSeparator" w:id="0">
    <w:p w14:paraId="27A0B3A8" w14:textId="77777777" w:rsidR="00777AD5" w:rsidRDefault="0077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5C42" w14:textId="77777777" w:rsidR="00257B15" w:rsidRDefault="00D73D56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766B8807" wp14:editId="164E6E3B">
          <wp:extent cx="1962150" cy="533400"/>
          <wp:effectExtent l="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7" t="-1713" r="-467" b="-171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15"/>
    <w:rsid w:val="00016A22"/>
    <w:rsid w:val="00257B15"/>
    <w:rsid w:val="003D45F1"/>
    <w:rsid w:val="00777AD5"/>
    <w:rsid w:val="00CF0623"/>
    <w:rsid w:val="00D22011"/>
    <w:rsid w:val="00D73D56"/>
    <w:rsid w:val="00F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3D5A"/>
  <w15:docId w15:val="{27F1B36D-C420-44D0-AEC2-DB6E333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Ufficio Relazione Esterne</cp:lastModifiedBy>
  <cp:revision>2</cp:revision>
  <dcterms:created xsi:type="dcterms:W3CDTF">2020-10-29T11:14:00Z</dcterms:created>
  <dcterms:modified xsi:type="dcterms:W3CDTF">2020-10-29T11:14:00Z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