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767CBEC0" w:rsidR="00D94AEB" w:rsidRDefault="00297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Nuovo servizio a sostegno all’internazionalizzazione delle imprese</w:t>
      </w:r>
    </w:p>
    <w:p w14:paraId="7D3079E6" w14:textId="6188ACAF" w:rsidR="004E38E3" w:rsidRDefault="00297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Disponibili fino a € </w:t>
      </w:r>
      <w:r w:rsidR="002C5D30">
        <w:rPr>
          <w:rFonts w:ascii="Verdana" w:eastAsia="Verdana" w:hAnsi="Verdana" w:cs="Verdana"/>
          <w:bCs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.000,00 per l’assistenza specialistica su progetti di internazionalizzazione</w:t>
      </w:r>
    </w:p>
    <w:p w14:paraId="590E504C" w14:textId="70CEB6A8" w:rsidR="0057183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24DDB" w14:textId="1BB1AA18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12EC3B1" w14:textId="77777777" w:rsidR="00926965" w:rsidRPr="00702153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DA9CC62" w14:textId="5DED1638" w:rsidR="00E70ABF" w:rsidRDefault="00321CA4" w:rsidP="00E70A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E70ABF">
        <w:rPr>
          <w:rFonts w:ascii="Verdana" w:eastAsia="Verdana" w:hAnsi="Verdana" w:cs="Verdana"/>
          <w:i/>
          <w:color w:val="000000"/>
          <w:sz w:val="22"/>
          <w:szCs w:val="22"/>
        </w:rPr>
        <w:t>1</w:t>
      </w:r>
      <w:r w:rsidR="00953D2E">
        <w:rPr>
          <w:rFonts w:ascii="Verdana" w:eastAsia="Verdana" w:hAnsi="Verdana" w:cs="Verdana"/>
          <w:i/>
          <w:color w:val="000000"/>
          <w:sz w:val="22"/>
          <w:szCs w:val="22"/>
        </w:rPr>
        <w:t>7</w:t>
      </w:r>
      <w:r w:rsidR="0047536E">
        <w:rPr>
          <w:rFonts w:ascii="Verdana" w:eastAsia="Verdana" w:hAnsi="Verdana" w:cs="Verdana"/>
          <w:i/>
          <w:color w:val="000000"/>
          <w:sz w:val="22"/>
          <w:szCs w:val="22"/>
        </w:rPr>
        <w:t xml:space="preserve"> giugno</w:t>
      </w:r>
      <w:r w:rsidR="000A153A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2021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E70ABF">
        <w:rPr>
          <w:rFonts w:ascii="Verdana" w:eastAsia="Verdana" w:hAnsi="Verdana" w:cs="Verdana"/>
          <w:bCs/>
          <w:color w:val="000000"/>
          <w:sz w:val="22"/>
          <w:szCs w:val="22"/>
        </w:rPr>
        <w:t>La ripartenza del</w:t>
      </w:r>
      <w:r w:rsidR="00E70ABF" w:rsidRPr="00E70AB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mercato estero </w:t>
      </w:r>
      <w:r w:rsidR="00E70ABF">
        <w:rPr>
          <w:rFonts w:ascii="Verdana" w:eastAsia="Verdana" w:hAnsi="Verdana" w:cs="Verdana"/>
          <w:bCs/>
          <w:color w:val="000000"/>
          <w:sz w:val="22"/>
          <w:szCs w:val="22"/>
        </w:rPr>
        <w:t>è una delle chiavi per la ripresa economica, e le imprese hanno bisogno di assistenza e supporto per poter affrontare con competitività il mercato internazionale e attuare i progetti per realizzare le proprie strategie di internazionalizzazione. La Camera di commercio di Lucca offre un nuovo servizio di assistenza qualificata alle imprese del territorio per affiancare l’imprenditore nella crescita</w:t>
      </w:r>
      <w:r w:rsid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internazionale della propria </w:t>
      </w:r>
      <w:r w:rsidR="00E70ABF">
        <w:rPr>
          <w:rFonts w:ascii="Verdana" w:eastAsia="Verdana" w:hAnsi="Verdana" w:cs="Verdana"/>
          <w:bCs/>
          <w:color w:val="000000"/>
          <w:sz w:val="22"/>
          <w:szCs w:val="22"/>
        </w:rPr>
        <w:t>azienda</w:t>
      </w:r>
      <w:r w:rsid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per affrontare la ripresa dalla pandemia 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>in modo tempestivo ed efficace</w:t>
      </w:r>
      <w:r w:rsidR="00B10E6F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4BAD475C" w14:textId="77777777" w:rsidR="00B10E6F" w:rsidRDefault="00B10E6F" w:rsidP="00E70A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EBA93C3" w14:textId="4ABFD01E" w:rsidR="00B10E6F" w:rsidRDefault="00B10E6F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nuovo servizio di assistenza prevede un orientamento di primo livello erogato gratuitamente dallo Sportello Internazionalizzazione dell’ente camerale, e un’assistenza specialistica per la definizione di un progetto strategico per l’internazionalizzazione fornito da un esperto individuato dallo sportello Internazionalizzazione per </w:t>
      </w:r>
      <w:r w:rsidRP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un massimo di € </w:t>
      </w:r>
      <w:r w:rsidR="00953D2E">
        <w:rPr>
          <w:rFonts w:ascii="Verdana" w:eastAsia="Verdana" w:hAnsi="Verdana" w:cs="Verdana"/>
          <w:bCs/>
          <w:color w:val="000000"/>
          <w:sz w:val="22"/>
          <w:szCs w:val="22"/>
        </w:rPr>
        <w:t>5</w:t>
      </w:r>
      <w:r w:rsidRPr="00B10E6F">
        <w:rPr>
          <w:rFonts w:ascii="Verdana" w:eastAsia="Verdana" w:hAnsi="Verdana" w:cs="Verdana"/>
          <w:bCs/>
          <w:color w:val="000000"/>
          <w:sz w:val="22"/>
          <w:szCs w:val="22"/>
        </w:rPr>
        <w:t>.000,00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ciascuna impresa.</w:t>
      </w:r>
    </w:p>
    <w:p w14:paraId="2BB142CB" w14:textId="77777777" w:rsidR="00B10E6F" w:rsidRDefault="00B10E6F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B5F282B" w14:textId="3A0DBE7B" w:rsidR="00297082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Tra le 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>azioni finanziabili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dall’ente camerale per la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realizzazione di programmi di internazionalizzazione 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per i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>l sostegno del commercio internazionale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vi sono 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servizi di analisi e orientamento, potenziamento degli strumenti promozionali e di marketing in lingua straniera, protezione del marchio di impresa all’estero, sviluppo delle competenze interne attraverso l’utilizzo in impresa di un Temporary Export Manager (TEM). </w:t>
      </w:r>
    </w:p>
    <w:p w14:paraId="03EEF076" w14:textId="304AA0F6" w:rsidR="00B10E6F" w:rsidRPr="00B10E6F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Sono, altresì attivabili, i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servizi che riguardano gli incontri d’affari e i B2B virtuali, connessi alla gestione di business on line ed alla realizzazione di attività ex-ante ed ex-post rispetto a quelle di promozione commerciale.</w:t>
      </w:r>
    </w:p>
    <w:p w14:paraId="6D8F8BBE" w14:textId="77777777" w:rsidR="00297082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08B96EC" w14:textId="5D0F555C" w:rsidR="00B10E6F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Requisito per poter usufruire del servizio specialistico è la 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>positiva conclusione della prima fase di orientamento, svolta dallo Sportello Sprint della Camera di Commercio, e la profilazione dell’azienda nella piattaforma Sei, portale specificamente dedicato all’export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 Gli esperti per l’assistenza specialistica son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>o scelt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 w:rsidR="00B10E6F" w:rsidRPr="00B10E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tra quelli iscritti agli elenchi camerali oppure tra i soggetti qualificati del sistema camerale stesso, come l’Azienda speciale Promos Italia, Promo Firenze o le Camere di Commercio Italiane all’estero.</w:t>
      </w:r>
    </w:p>
    <w:p w14:paraId="31AC17A4" w14:textId="77777777" w:rsidR="00297082" w:rsidRPr="00B10E6F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2C5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926965">
      <w:headerReference w:type="default" r:id="rId15"/>
      <w:footerReference w:type="default" r:id="rId16"/>
      <w:pgSz w:w="11906" w:h="16838"/>
      <w:pgMar w:top="2552" w:right="1134" w:bottom="851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A153A"/>
    <w:rsid w:val="000A283E"/>
    <w:rsid w:val="001501CB"/>
    <w:rsid w:val="001524D1"/>
    <w:rsid w:val="00297082"/>
    <w:rsid w:val="002C5D30"/>
    <w:rsid w:val="002E6F58"/>
    <w:rsid w:val="00306E5B"/>
    <w:rsid w:val="00317D83"/>
    <w:rsid w:val="00321CA4"/>
    <w:rsid w:val="00334BA2"/>
    <w:rsid w:val="00337030"/>
    <w:rsid w:val="0039196C"/>
    <w:rsid w:val="00410206"/>
    <w:rsid w:val="0047536E"/>
    <w:rsid w:val="004906C3"/>
    <w:rsid w:val="004918E2"/>
    <w:rsid w:val="004C5931"/>
    <w:rsid w:val="004E38E3"/>
    <w:rsid w:val="004F795C"/>
    <w:rsid w:val="00506458"/>
    <w:rsid w:val="00535DB2"/>
    <w:rsid w:val="00555E20"/>
    <w:rsid w:val="00571833"/>
    <w:rsid w:val="005739AD"/>
    <w:rsid w:val="005C193E"/>
    <w:rsid w:val="005D5B47"/>
    <w:rsid w:val="005F6B63"/>
    <w:rsid w:val="00642F63"/>
    <w:rsid w:val="00657B03"/>
    <w:rsid w:val="0067310A"/>
    <w:rsid w:val="006C397D"/>
    <w:rsid w:val="00702153"/>
    <w:rsid w:val="00726B3C"/>
    <w:rsid w:val="00731824"/>
    <w:rsid w:val="00827C9B"/>
    <w:rsid w:val="0085788A"/>
    <w:rsid w:val="00862F79"/>
    <w:rsid w:val="008A6FCD"/>
    <w:rsid w:val="00926965"/>
    <w:rsid w:val="00927796"/>
    <w:rsid w:val="009539BC"/>
    <w:rsid w:val="00953D2E"/>
    <w:rsid w:val="00965108"/>
    <w:rsid w:val="009F466F"/>
    <w:rsid w:val="009F7E3E"/>
    <w:rsid w:val="00AD4AB1"/>
    <w:rsid w:val="00AD68C8"/>
    <w:rsid w:val="00B10E6F"/>
    <w:rsid w:val="00C113E7"/>
    <w:rsid w:val="00C53F5A"/>
    <w:rsid w:val="00C84A82"/>
    <w:rsid w:val="00D05915"/>
    <w:rsid w:val="00D5068C"/>
    <w:rsid w:val="00D94AEB"/>
    <w:rsid w:val="00DB10B7"/>
    <w:rsid w:val="00E03DC9"/>
    <w:rsid w:val="00E70ABF"/>
    <w:rsid w:val="00E958A4"/>
    <w:rsid w:val="00EA4830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8</cp:revision>
  <dcterms:created xsi:type="dcterms:W3CDTF">2021-06-15T12:11:00Z</dcterms:created>
  <dcterms:modified xsi:type="dcterms:W3CDTF">2021-06-17T11:22:00Z</dcterms:modified>
</cp:coreProperties>
</file>