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ind w:left="426" w:firstLine="0"/>
        <w:jc w:val="left"/>
        <w:rPr/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  Nel 2020 il credito ha sostenuto l’economia lucchese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69" w:line="240" w:lineRule="auto"/>
        <w:ind w:left="426" w:firstLine="0"/>
        <w:jc w:val="cente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69" w:line="240" w:lineRule="auto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21"/>
          <w:szCs w:val="21"/>
          <w:rtl w:val="0"/>
        </w:rPr>
        <w:t xml:space="preserve">Lucca, 23 aprile 2021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1"/>
          <w:szCs w:val="21"/>
          <w:rtl w:val="0"/>
        </w:rPr>
        <w:t xml:space="preserve">–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Il territorio della provincia di Lucca appare adeguatamente servito dal sistema bancario, con la presenza di 187 sportelli al 31 marzo scorso, per n. 2.059 abitanti per sportello, nella media toscana e meglio dell’Italia, e con una buona diffusione degli sportelli postali.</w:t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La pandemia ha accelerato il cambiamento del modo di operare di famiglie e imprese nei confronti delle banche e dei sistemi di pagamento. La clientela ha fatto un crescente ricorso agli strumenti informatici, come i POS (Point of sale, uno ogni 12 abitanti in lucchesia), gli ATM (sportelli bancomat, uno ogni 1.271 abitanti), l'Home e Corporate Banking nonché il Phone Banking, per i quali Lucca presenta valori assoluti e pro-capite elevati rispetto alle altre province toscane.</w:t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In seguito a ciò, pur avendo registrato una delle maggiori riduzioni di sportelli in regione (-31,2% dal massimo livello del 2011), la provincia di Lucca appare presumibilmente ancora oggetto di una ristrutturazione della presenza bancaria, in un contesto di crescente concorrenzialità nazionale e internazionale.</w:t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Se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ne è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parlato alla Camera di Commercio di Lucca nel corso dell’annuale incontro sul credito. Dopo i saluti del Commissario Straordinario della Camera di Commercio di Lucca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Giorgio Bartoli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Giuliano Dini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, già direttore della filiale di Lucca della Banca d’Italia, ha presentato l’analisi dei principali andamenti degli aggregati creditizi nell’anno 2020, elaborati a partire dalle informazioni statistiche ufficiali della Banca d’Italia.</w:t>
      </w:r>
    </w:p>
    <w:p w:rsidR="00000000" w:rsidDel="00000000" w:rsidP="00000000" w:rsidRDefault="00000000" w:rsidRPr="00000000" w14:paraId="00000008">
      <w:pPr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Verdana" w:cs="Verdana" w:eastAsia="Verdana" w:hAnsi="Verdana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La raccolta del risparmio è aumentata sensibilmente, confermandosi un elemento di forza del territorio, con Lucca seconda solo a Firenze in regione. Ciò sembra dovuto al clima di insicurezza e incertezza sul futuro da parte delle famiglie che hanno limitato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u w:val="single"/>
          <w:rtl w:val="0"/>
        </w:rPr>
        <w:t xml:space="preserve">molto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le spese, nonché a una diminuzione degli investimenti delle imprese e ai sostegni ricevuti che hanno determinato un aumento almeno temporaneo della liquidità. I depositi e il risparmio postale sono cresciuti del +10,5% nel corso del 2020, portandosi a quota 10.820 milioni di euro ma con un indebolimento nell’ultimo trimestre per le esigenze collegate alle scadenze di fine anno. La raccolta indiretta (6.356 milioni di euro) è cresciuta del +5,3%. Il risparmio totale ammonta a 17.176 milioni di euro (+8,5%), nella fascia alta della Toscana.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Le imprese e i consumatori lucchesi hanno fatto ricorso al credito in misura mediamente prudente e contenuta. Con i sostegni erogati, le rinegoziazioni e le moratorie, vi è stato un travaso dal credito a breve verso quello a medio e lungo termine, con l’allungamento delle scadenze e un alleggerimento delle difficoltà finanziarie di famiglie e imprese. Pertanto, pur in un contesto di disponibilità delle banche e di tassi di interesse contenuti, gli impieghi vivi in provincia (9.468 milioni di euro, al netto di sofferenze e insoluti) sono cresciuti solo del +1,5% nell’anno, su livelli medio-bassi in Toscana.</w:t>
      </w:r>
    </w:p>
    <w:p w:rsidR="00000000" w:rsidDel="00000000" w:rsidP="00000000" w:rsidRDefault="00000000" w:rsidRPr="00000000" w14:paraId="0000000C">
      <w:pPr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Solamente per le unità produttive più piccole l’ammontare del credito (1.022 mln di euro) è risultato in deciso aumento (+8,9%), sopra la media toscana e nazionale. Il credito alle imprese più grandi (sopra 20 addetti: 4.343 mln di euro) ha presentato invece una flessione (-0,3%), al livello più basso in regione. I prestiti vivi al manifatturiero (+2,8%) e quelli alle imprese dei servizi (+0,4%) sono aumentati a tassi marcatamente inferiori ai valori della Toscana e dell’Italia, mentre per le costruzioni si è rilevato un calo (-1,3%) migliore del dato regionale. Le famiglie (3.813 mln di euro) hanno registrato un incremento del +1,7%, nella media toscana.</w:t>
      </w:r>
    </w:p>
    <w:p w:rsidR="00000000" w:rsidDel="00000000" w:rsidP="00000000" w:rsidRDefault="00000000" w:rsidRPr="00000000" w14:paraId="0000000E">
      <w:pPr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Sull’aumento degli impieghi hanno inciso i finanziamenti a medio e lungo termine, cresciuti del +9,7% nei dodici mesi (consistenza a fine dicembre: 8.513 mln di euro);</w:t>
      </w:r>
      <w:r w:rsidDel="00000000" w:rsidR="00000000" w:rsidRPr="00000000">
        <w:rPr>
          <w:rFonts w:ascii="Verdana" w:cs="Verdana" w:eastAsia="Verdana" w:hAnsi="Verdana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le erogazioni nell’anno, in aumento del +17,6%, sono state pari a 3.044 mln di euro, con segno positivo solo per gli “investimenti finanziari e altri” (collegati a proroghe, garanzie e sostegni pubblici) che hanno presentato una consistente crescita (+52,1% le erogazioni nell’anno e +26,7% la consistenza finale pari a 3.990 mln di euro). Gli investimenti in “macchine, strumenti e attrezzature” sono diminuiti dell’8,8%, con le nuove erogazioni in calo del -28,5% nell’anno (dopo essere cresciute fino a metà 2019). In un contesto di tradizionale basso indebitamento delle famiglie lucchesi, l’acquisto di abitazioni è cresciuto come consistenza del +2,5% per effetto delle proroghe e rinegoziazioni, mentre sono diminuite le erogazioni nell’anno (349 mln; -9,4%). </w:t>
      </w:r>
    </w:p>
    <w:p w:rsidR="00000000" w:rsidDel="00000000" w:rsidP="00000000" w:rsidRDefault="00000000" w:rsidRPr="00000000" w14:paraId="00000010">
      <w:pPr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Anche il credito al consumo (1.056 mln) ha registrato a Lucca un calo del -1,0%, tra i più bassi in regione e in parte destinato agli acquisti di “beni durevoli delle famiglie consumatrici” (consistenze 364 mln) aumentati del +4,2%, mentre le erogazioni hanno registrato un -12,6%. </w:t>
      </w:r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È proseguita la diminuzione delle sofferenze provinciali, scese a 361 mln di euro (-37,6% nell’anno, con un rapporto sofferenze/impieghi pari al 3,8%) per effetto di ammortamenti e cartolarizzazioni. Il risanamento degli attivi bancari, ma soprattutto le ripetute moratorie e l’allungamento delle scadenze, hanno ridotto il tasso di deterioramento provinciale allo 0,828% (passaggio a sofferenza nell’anno, rispetto agli impieghi iniziali).</w:t>
      </w:r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  <w:i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22"/>
          <w:szCs w:val="22"/>
          <w:rtl w:val="0"/>
        </w:rPr>
        <w:t xml:space="preserve">“Nella nostra provincia le attività bloccate da mesi per la pandemia sono in grande sofferenza, molte hanno già chiuso e molte altre potrebbero non riaprire, mettendo a rischio numerosi posti di lavoro - ha dichiarato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2"/>
          <w:szCs w:val="22"/>
          <w:rtl w:val="0"/>
        </w:rPr>
        <w:t xml:space="preserve">Giorgio Bartoli, Commissario Straordinario della Camera di Commercio di Lucca.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22"/>
          <w:szCs w:val="22"/>
          <w:rtl w:val="0"/>
        </w:rPr>
        <w:t xml:space="preserve"> - Il sistema economico lucchese sembra però avere le potenzialità per una soddisfacente ripresa allorché l’uscita dalla pandemia consentirà al “complessivo motore produttivo locale” di tornare a pieno regime.”</w:t>
      </w:r>
    </w:p>
    <w:p w:rsidR="00000000" w:rsidDel="00000000" w:rsidP="00000000" w:rsidRDefault="00000000" w:rsidRPr="00000000" w14:paraId="00000015">
      <w:pPr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69" w:line="240" w:lineRule="auto"/>
        <w:jc w:val="both"/>
        <w:rPr>
          <w:rFonts w:ascii="Verdana" w:cs="Verdana" w:eastAsia="Verdana" w:hAnsi="Verdana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240" w:lineRule="auto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240" w:lineRule="auto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9.0" w:type="dxa"/>
        <w:jc w:val="left"/>
        <w:tblInd w:w="0.0" w:type="dxa"/>
        <w:tblLayout w:type="fixed"/>
        <w:tblLook w:val="0400"/>
      </w:tblPr>
      <w:tblGrid>
        <w:gridCol w:w="6014"/>
        <w:gridCol w:w="3565"/>
        <w:tblGridChange w:id="0">
          <w:tblGrid>
            <w:gridCol w:w="6014"/>
            <w:gridCol w:w="3565"/>
          </w:tblGrid>
        </w:tblGridChange>
      </w:tblGrid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Ufficio Stampa – Relazioni Esterne</w:t>
            </w:r>
          </w:p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Francesca Sargenti</w:t>
            </w:r>
          </w:p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Tel. +39 0583 976.686 - cell. +39 338 7768286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jc w:val="right"/>
              <w:rPr/>
            </w:pPr>
            <w:hyperlink r:id="rId7">
              <w:r w:rsidDel="00000000" w:rsidR="00000000" w:rsidRPr="00000000">
                <w:rPr>
                  <w:color w:val="0000ff"/>
                  <w:u w:val="single"/>
                </w:rPr>
                <w:drawing>
                  <wp:inline distB="0" distT="0" distL="0" distR="0">
                    <wp:extent cx="219075" cy="219075"/>
                    <wp:effectExtent b="0" l="0" r="0" t="0"/>
                    <wp:docPr id="6" name="image4.jpg"/>
                    <a:graphic>
                      <a:graphicData uri="http://schemas.openxmlformats.org/drawingml/2006/picture">
                        <pic:pic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00"/>
                  <w:sz w:val="24"/>
                  <w:szCs w:val="24"/>
                  <w:u w:val="single"/>
                </w:rPr>
                <w:drawing>
                  <wp:inline distB="0" distT="0" distL="0" distR="0">
                    <wp:extent cx="225425" cy="225425"/>
                    <wp:effectExtent b="0" l="0" r="0" t="0"/>
                    <wp:docPr id="8" name="image2.jpg"/>
                    <a:graphic>
                      <a:graphicData uri="http://schemas.openxmlformats.org/drawingml/2006/picture">
                        <pic:pic>
                          <pic:nvPicPr>
                            <pic:cNvPr id="0" name="image2.jpg"/>
                            <pic:cNvPicPr preferRelativeResize="0"/>
                          </pic:nvPicPr>
                          <pic:blipFill>
                            <a:blip r:embed="rId10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00"/>
                  <w:sz w:val="24"/>
                  <w:szCs w:val="24"/>
                  <w:u w:val="single"/>
                </w:rPr>
                <w:drawing>
                  <wp:inline distB="0" distT="0" distL="0" distR="0">
                    <wp:extent cx="229235" cy="228600"/>
                    <wp:effectExtent b="0" l="0" r="0" t="0"/>
                    <wp:docPr id="7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1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3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00"/>
                  <w:sz w:val="24"/>
                  <w:szCs w:val="24"/>
                  <w:u w:val="single"/>
                </w:rPr>
                <w:drawing>
                  <wp:inline distB="0" distT="0" distL="0" distR="0">
                    <wp:extent cx="428625" cy="229235"/>
                    <wp:effectExtent b="0" l="0" r="0" t="0"/>
                    <wp:docPr id="10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4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939" w:top="1837" w:left="1134" w:right="1134" w:header="420" w:footer="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both"/>
      <w:rPr>
        <w:rFonts w:ascii="Arial Narrow" w:cs="Arial Narrow" w:eastAsia="Arial Narrow" w:hAnsi="Arial Narrow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center"/>
      <w:rPr>
        <w:rFonts w:ascii="Arial Narrow" w:cs="Arial Narrow" w:eastAsia="Arial Narrow" w:hAnsi="Arial Narrow"/>
        <w:color w:val="a09289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color w:val="a09289"/>
        <w:sz w:val="16"/>
        <w:szCs w:val="16"/>
        <w:rtl w:val="0"/>
      </w:rPr>
      <w:t xml:space="preserve">Camera di Commercio Industria Artigianato Agricoltura di Lucca - </w:t>
    </w:r>
    <w:r w:rsidDel="00000000" w:rsidR="00000000" w:rsidRPr="00000000">
      <w:rPr>
        <w:rFonts w:ascii="Arial Narrow" w:cs="Arial Narrow" w:eastAsia="Arial Narrow" w:hAnsi="Arial Narrow"/>
        <w:color w:val="a09289"/>
        <w:sz w:val="16"/>
        <w:szCs w:val="16"/>
        <w:rtl w:val="0"/>
      </w:rPr>
      <w:t xml:space="preserve">Corte Campana, 10 - 55100 Lucca - T +39 0583 9765   F +39 0583 199 99 82</w:t>
    </w:r>
  </w:p>
  <w:p w:rsidR="00000000" w:rsidDel="00000000" w:rsidP="00000000" w:rsidRDefault="00000000" w:rsidRPr="00000000" w14:paraId="00000021">
    <w:pPr>
      <w:ind w:left="851" w:firstLine="0"/>
      <w:jc w:val="center"/>
      <w:rPr>
        <w:rFonts w:ascii="Arial Narrow" w:cs="Arial Narrow" w:eastAsia="Arial Narrow" w:hAnsi="Arial Narrow"/>
        <w:color w:val="a09289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color w:val="a09289"/>
        <w:sz w:val="16"/>
        <w:szCs w:val="16"/>
        <w:rtl w:val="0"/>
      </w:rPr>
      <w:t xml:space="preserve">cameracommercio@lu.camcom.it - p.e.c. camera.commercio.lucca@lu.legalmail.camcom.it - www.lu.camcom.it</w:t>
    </w:r>
  </w:p>
  <w:p w:rsidR="00000000" w:rsidDel="00000000" w:rsidP="00000000" w:rsidRDefault="00000000" w:rsidRPr="00000000" w14:paraId="00000022">
    <w:pPr>
      <w:tabs>
        <w:tab w:val="center" w:pos="4819"/>
        <w:tab w:val="right" w:pos="9638"/>
      </w:tabs>
      <w:rPr>
        <w:rFonts w:ascii="Arial Narrow" w:cs="Arial Narrow" w:eastAsia="Arial Narrow" w:hAnsi="Arial Narrow"/>
        <w:color w:val="a09289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962150" cy="533400"/>
          <wp:effectExtent b="0" l="0" r="0" t="0"/>
          <wp:docPr id="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-1591" l="-433" r="-433" t="-1591"/>
                  <a:stretch>
                    <a:fillRect/>
                  </a:stretch>
                </pic:blipFill>
                <pic:spPr>
                  <a:xfrm>
                    <a:off x="0" y="0"/>
                    <a:ext cx="1962150" cy="533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a"/>
        <w:sz w:val="22"/>
        <w:szCs w:val="22"/>
        <w:highlight w:val="white"/>
        <w:u w:val="none"/>
        <w:vertAlign w:val="baseline"/>
        <w:rtl w:val="0"/>
      </w:rPr>
      <w:tab/>
      <w:tab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808080"/>
        <w:sz w:val="36"/>
        <w:szCs w:val="36"/>
        <w:u w:val="none"/>
        <w:shd w:fill="auto" w:val="clear"/>
        <w:vertAlign w:val="baseline"/>
        <w:rtl w:val="0"/>
      </w:rPr>
      <w:t xml:space="preserve">comunicato stampa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jc w:val="left"/>
    </w:pPr>
    <w:rPr>
      <w:rFonts w:ascii="Times New Roman" w:cs="Times New Roman" w:eastAsia="Times New Roman" w:hAnsi="Times New Roman"/>
      <w:color w:val="00000a"/>
      <w:sz w:val="20"/>
      <w:szCs w:val="20"/>
      <w:lang w:bidi="ar-SA" w:eastAsia="it-IT" w:val="it-IT"/>
    </w:rPr>
  </w:style>
  <w:style w:type="paragraph" w:styleId="Titolo1">
    <w:name w:val="Heading 1"/>
    <w:basedOn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 w:val="1"/>
    <w:rsid w:val="00535DB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 w:val="1"/>
    <w:rsid w:val="00535DB2"/>
    <w:rPr/>
  </w:style>
  <w:style w:type="character" w:styleId="CollegamentoInternet" w:customStyle="1">
    <w:name w:val="Collegamento Internet"/>
    <w:basedOn w:val="DefaultParagraphFont"/>
    <w:uiPriority w:val="99"/>
    <w:unhideWhenUsed w:val="1"/>
    <w:rsid w:val="00DC6129"/>
    <w:rPr>
      <w:color w:val="0000ff"/>
      <w:u w:val="single"/>
    </w:rPr>
  </w:style>
  <w:style w:type="character" w:styleId="Menzionenonrisolta1" w:customStyle="1">
    <w:name w:val="Menzione non risolta1"/>
    <w:basedOn w:val="DefaultParagraphFont"/>
    <w:uiPriority w:val="99"/>
    <w:semiHidden w:val="1"/>
    <w:unhideWhenUsed w:val="1"/>
    <w:qFormat w:val="1"/>
    <w:rsid w:val="001501CB"/>
    <w:rPr>
      <w:color w:val="605e5c"/>
      <w:shd w:fill="e1dfdd" w:val="clear"/>
    </w:rPr>
  </w:style>
  <w:style w:type="character" w:styleId="ListLabel1" w:customStyle="1">
    <w:name w:val="ListLabel 1"/>
    <w:qFormat w:val="1"/>
    <w:rPr>
      <w:rFonts w:cs="Courier New"/>
    </w:rPr>
  </w:style>
  <w:style w:type="character" w:styleId="ListLabel2" w:customStyle="1">
    <w:name w:val="ListLabel 2"/>
    <w:qFormat w:val="1"/>
    <w:rPr>
      <w:rFonts w:cs="Courier New"/>
    </w:rPr>
  </w:style>
  <w:style w:type="character" w:styleId="ListLabel3" w:customStyle="1">
    <w:name w:val="ListLabel 3"/>
    <w:qFormat w:val="1"/>
    <w:rPr>
      <w:rFonts w:cs="Courier New"/>
    </w:rPr>
  </w:style>
  <w:style w:type="character" w:styleId="ListLabel4" w:customStyle="1">
    <w:name w:val="ListLabel 4"/>
    <w:qFormat w:val="1"/>
    <w:rPr>
      <w:rFonts w:cs="Verdana" w:eastAsia="Verdana"/>
    </w:rPr>
  </w:style>
  <w:style w:type="character" w:styleId="ListLabel5" w:customStyle="1">
    <w:name w:val="ListLabel 5"/>
    <w:qFormat w:val="1"/>
    <w:rPr>
      <w:rFonts w:cs="Courier New"/>
    </w:rPr>
  </w:style>
  <w:style w:type="character" w:styleId="ListLabel6" w:customStyle="1">
    <w:name w:val="ListLabel 6"/>
    <w:qFormat w:val="1"/>
    <w:rPr>
      <w:rFonts w:cs="Courier New"/>
    </w:rPr>
  </w:style>
  <w:style w:type="character" w:styleId="ListLabel7" w:customStyle="1">
    <w:name w:val="ListLabel 7"/>
    <w:qFormat w:val="1"/>
    <w:rPr>
      <w:rFonts w:cs="Courier New"/>
    </w:rPr>
  </w:style>
  <w:style w:type="character" w:styleId="ListLabel8" w:customStyle="1">
    <w:name w:val="ListLabel 8"/>
    <w:qFormat w:val="1"/>
    <w:rPr>
      <w:rFonts w:cs="Courier New"/>
    </w:rPr>
  </w:style>
  <w:style w:type="character" w:styleId="ListLabel9" w:customStyle="1">
    <w:name w:val="ListLabel 9"/>
    <w:qFormat w:val="1"/>
    <w:rPr>
      <w:rFonts w:cs="Courier New"/>
    </w:rPr>
  </w:style>
  <w:style w:type="character" w:styleId="ListLabel10" w:customStyle="1">
    <w:name w:val="ListLabel 10"/>
    <w:qFormat w:val="1"/>
    <w:rPr>
      <w:rFonts w:cs="Courier New"/>
    </w:rPr>
  </w:style>
  <w:style w:type="character" w:styleId="ListLabel11" w:customStyle="1">
    <w:name w:val="ListLabel 11"/>
    <w:qFormat w:val="1"/>
    <w:rPr>
      <w:rFonts w:cs="Courier New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Courier New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 w:val="1"/>
    <w:qFormat w:val="1"/>
    <w:rsid w:val="005605C3"/>
    <w:rPr>
      <w:rFonts w:ascii="Tahoma" w:cs="Tahoma" w:hAnsi="Tahoma"/>
      <w:sz w:val="16"/>
      <w:szCs w:val="16"/>
    </w:rPr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ltesto" w:customStyle="1">
    <w:name w:val="Body Text"/>
    <w:basedOn w:val="Normal"/>
    <w:pPr>
      <w:spacing w:after="140" w:before="0" w:line="288" w:lineRule="auto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ice" w:customStyle="1">
    <w:name w:val="Indice"/>
    <w:basedOn w:val="Normal"/>
    <w:qFormat w:val="1"/>
    <w:pPr>
      <w:suppressLineNumbers w:val="1"/>
    </w:pPr>
    <w:rPr>
      <w:rFonts w:cs="Lucida Sans"/>
    </w:rPr>
  </w:style>
  <w:style w:type="paragraph" w:styleId="Titoloprincipale" w:customStyle="1">
    <w:name w:val="Title"/>
    <w:basedOn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Sottotitolo">
    <w:name w:val="Subtitle"/>
    <w:basedOn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Intestazione">
    <w:name w:val="Header"/>
    <w:basedOn w:val="Normal"/>
    <w:link w:val="IntestazioneCarattere"/>
    <w:unhideWhenUsed w:val="1"/>
    <w:rsid w:val="00535DB2"/>
    <w:pPr>
      <w:tabs>
        <w:tab w:val="center" w:leader="none" w:pos="4513"/>
        <w:tab w:val="right" w:leader="none" w:pos="9026"/>
      </w:tabs>
    </w:pPr>
    <w:rPr/>
  </w:style>
  <w:style w:type="paragraph" w:styleId="Pidipagina">
    <w:name w:val="Footer"/>
    <w:basedOn w:val="Normal"/>
    <w:link w:val="PidipaginaCarattere"/>
    <w:uiPriority w:val="99"/>
    <w:unhideWhenUsed w:val="1"/>
    <w:rsid w:val="00535DB2"/>
    <w:pPr>
      <w:tabs>
        <w:tab w:val="center" w:leader="none" w:pos="4513"/>
        <w:tab w:val="right" w:leader="none" w:pos="9026"/>
      </w:tabs>
    </w:pPr>
    <w:rPr/>
  </w:style>
  <w:style w:type="paragraph" w:styleId="ListParagraph">
    <w:name w:val="List Paragraph"/>
    <w:basedOn w:val="Normal"/>
    <w:uiPriority w:val="34"/>
    <w:qFormat w:val="1"/>
    <w:rsid w:val="00EB0AAC"/>
    <w:pPr>
      <w:spacing w:after="0" w:before="0"/>
      <w:ind w:left="720" w:hanging="0"/>
      <w:contextualSpacing w:val="1"/>
    </w:pPr>
    <w:rPr/>
  </w:style>
  <w:style w:type="paragraph" w:styleId="BalloonText">
    <w:name w:val="Balloon Text"/>
    <w:basedOn w:val="Normal"/>
    <w:link w:val="TestofumettoCarattere"/>
    <w:uiPriority w:val="99"/>
    <w:semiHidden w:val="1"/>
    <w:unhideWhenUsed w:val="1"/>
    <w:qFormat w:val="1"/>
    <w:rsid w:val="005605C3"/>
    <w:pPr/>
    <w:rPr>
      <w:rFonts w:ascii="Tahoma" w:cs="Tahoma" w:hAnsi="Tahoma"/>
      <w:sz w:val="16"/>
      <w:szCs w:val="16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CameraCommercioLucca" TargetMode="External"/><Relationship Id="rId10" Type="http://schemas.openxmlformats.org/officeDocument/2006/relationships/image" Target="media/image2.jpg"/><Relationship Id="rId13" Type="http://schemas.openxmlformats.org/officeDocument/2006/relationships/hyperlink" Target="https://www.facebook.com/CameraCommercioLucca" TargetMode="Externa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lu.camcom.it" TargetMode="External"/><Relationship Id="rId15" Type="http://schemas.openxmlformats.org/officeDocument/2006/relationships/header" Target="header1.xml"/><Relationship Id="rId14" Type="http://schemas.openxmlformats.org/officeDocument/2006/relationships/image" Target="media/image1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lu.camcom.it/" TargetMode="External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wRkDU8PY+L+HGpyB4YhUhD+9rA==">AMUW2mVB9vp+T7F+Sve2aHzi3BdowEwV+veByoc1su6B9+4PvL2SdkGrkt3ADQ622JHsIMg/BnK3j6o/ZWgghT0frZFueH31f0sdoUAVHmAeC8VGgC5qZHa+hkpAGaro2srBMUFlJvwM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2021-01-26T07:35:00Z</dcterms:created>
  <dc:creator>Sargenti Francesca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