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ind w:left="426" w:hanging="0"/>
        <w:jc w:val="center"/>
        <w:rPr/>
      </w:pPr>
      <w:r>
        <w:rPr>
          <w:rFonts w:eastAsia="Verdana" w:cs="Verdana" w:ascii="Verdana" w:hAnsi="Verdana"/>
          <w:b/>
          <w:bCs/>
          <w:color w:val="000000"/>
          <w:sz w:val="28"/>
          <w:szCs w:val="28"/>
        </w:rPr>
        <w:t>L’export provinciale chiude l’anno in negativo ma in recupero nel quarto trimestre</w:t>
      </w:r>
    </w:p>
    <w:p>
      <w:pPr>
        <w:pStyle w:val="Normal"/>
        <w:spacing w:before="240" w:after="0"/>
        <w:ind w:left="426" w:hanging="0"/>
        <w:jc w:val="center"/>
        <w:rPr>
          <w:rFonts w:ascii="Verdana" w:hAnsi="Verdana" w:eastAsia="Verdana" w:cs="Verdana"/>
          <w:bCs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 xml:space="preserve">Analisi realizzata sui dati 2020 </w:t>
      </w:r>
      <w:r>
        <w:rPr>
          <w:rFonts w:eastAsia="Verdana" w:cs="Verdana" w:ascii="Verdana" w:hAnsi="Verdana"/>
          <w:bCs/>
          <w:color w:val="000000"/>
          <w:sz w:val="22"/>
          <w:szCs w:val="22"/>
        </w:rPr>
        <w:t xml:space="preserve">dall’ufficio Studi e statistica della </w:t>
      </w:r>
    </w:p>
    <w:p>
      <w:pPr>
        <w:pStyle w:val="Normal"/>
        <w:ind w:left="426" w:hanging="0"/>
        <w:jc w:val="center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bCs/>
          <w:color w:val="000000"/>
          <w:sz w:val="22"/>
          <w:szCs w:val="22"/>
        </w:rPr>
        <w:t>Camera di Commercio di Lucca</w:t>
      </w:r>
    </w:p>
    <w:p>
      <w:pPr>
        <w:pStyle w:val="Normal"/>
        <w:spacing w:before="240" w:after="0"/>
        <w:jc w:val="both"/>
        <w:rPr/>
      </w:pPr>
      <w:r>
        <w:rPr>
          <w:rFonts w:eastAsia="Verdana" w:cs="Verdana" w:ascii="Verdana" w:hAnsi="Verdana"/>
          <w:i/>
          <w:color w:val="000000"/>
          <w:sz w:val="22"/>
          <w:szCs w:val="22"/>
        </w:rPr>
        <w:t>Lucca, 12 marzo 2021</w:t>
      </w:r>
      <w:r>
        <w:rPr>
          <w:rFonts w:eastAsia="Verdana" w:cs="Verdana" w:ascii="Verdana" w:hAnsi="Verdana"/>
          <w:b/>
          <w:i/>
          <w:color w:val="000000"/>
          <w:sz w:val="22"/>
          <w:szCs w:val="22"/>
        </w:rPr>
        <w:t xml:space="preserve"> </w:t>
      </w:r>
      <w:r>
        <w:rPr>
          <w:rFonts w:eastAsia="Verdana" w:cs="Verdana" w:ascii="Verdana" w:hAnsi="Verdana"/>
          <w:b/>
          <w:color w:val="000000"/>
          <w:sz w:val="22"/>
          <w:szCs w:val="22"/>
        </w:rPr>
        <w:t xml:space="preserve">– </w:t>
      </w:r>
      <w:r>
        <w:rPr>
          <w:rFonts w:eastAsia="Verdana" w:cs="Arial" w:ascii="Verdana" w:hAnsi="Verdana"/>
          <w:b w:val="false"/>
          <w:bCs w:val="false"/>
          <w:color w:val="000000"/>
          <w:sz w:val="20"/>
          <w:szCs w:val="20"/>
        </w:rPr>
        <w:t>Nel corso del 2020 le vendite all’estero dalla provi</w:t>
      </w:r>
      <w:bookmarkStart w:id="0" w:name="_GoBack"/>
      <w:bookmarkEnd w:id="0"/>
      <w:r>
        <w:rPr>
          <w:rFonts w:eastAsia="Verdana" w:cs="Arial" w:ascii="Verdana" w:hAnsi="Verdana"/>
          <w:b w:val="false"/>
          <w:bCs w:val="false"/>
          <w:color w:val="000000"/>
          <w:sz w:val="20"/>
          <w:szCs w:val="20"/>
        </w:rPr>
        <w:t>ncia di Lucca si sono fermate a 3.908 milioni di euro, un valore in calo del -4,4% (quasi 180 milioni in meno) rispetto all’anno precedente (4.087 milioni).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Dopo le contrazioni registrate nel corso del primo e soprattutto del secondo trimestre dell’anno, quando l’export provinciale è sceso rispettivamente del -0,5% e del -28,3% rispetto allo stesso periodo del 2019, nel periodo luglio-settembre si è rilevato un recupero del +12,4% che ha trovato conferma nel +1,9% fatto segnare negli ultimi tre mesi dell’anno.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L’andamento complessivo provinciale, seppur negativo, risulta migliore di quello registrato per Toscana e Italia: nel corso dell’anno le esportazioni toscane sono scese del -6,2%, mentre in Italia le vendite all’estero sono calate del -9,7%.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In generale il rallentamento dell’economia a livello globale ha determinato una significativa contrazione della domanda mondiale e conseguentemente degli scambi internazionali. </w:t>
      </w:r>
    </w:p>
    <w:p>
      <w:pPr>
        <w:pStyle w:val="Normal"/>
        <w:spacing w:lineRule="auto" w:line="276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sz w:val="20"/>
          <w:szCs w:val="20"/>
        </w:rPr>
        <w:t>“</w:t>
      </w:r>
      <w:r>
        <w:rPr>
          <w:rFonts w:cs="Arial" w:ascii="Verdana" w:hAnsi="Verdana"/>
          <w:sz w:val="20"/>
          <w:szCs w:val="20"/>
        </w:rPr>
        <w:t xml:space="preserve">Il commercio estero provinciale – ha dichiarato </w:t>
      </w:r>
      <w:r>
        <w:rPr>
          <w:rFonts w:cs="Arial" w:ascii="Verdana" w:hAnsi="Verdana"/>
          <w:b/>
          <w:bCs/>
          <w:sz w:val="20"/>
          <w:szCs w:val="20"/>
        </w:rPr>
        <w:t>Giorgio Bartoli</w:t>
      </w:r>
      <w:r>
        <w:rPr>
          <w:rFonts w:cs="Arial" w:ascii="Verdana" w:hAnsi="Verdana"/>
          <w:sz w:val="20"/>
          <w:szCs w:val="20"/>
        </w:rPr>
        <w:t xml:space="preserve">, commissario straordinario della Camera di Commercio di Lucca – è stato nel 2° trimestre penalizzato dalla pandemia, ma il tessuto imprenditoriale provinciale ha reagito molto bene nei mesi successivi, limitando la perdita a </w:t>
      </w:r>
      <w:r>
        <w:rPr>
          <w:rFonts w:cs="Arial" w:ascii="Verdana" w:hAnsi="Verdana"/>
          <w:sz w:val="20"/>
          <w:szCs w:val="20"/>
        </w:rPr>
        <w:t>-</w:t>
      </w:r>
      <w:r>
        <w:rPr>
          <w:rFonts w:cs="Arial" w:ascii="Verdana" w:hAnsi="Verdana"/>
          <w:sz w:val="20"/>
          <w:szCs w:val="20"/>
        </w:rPr>
        <w:t>4,4%, una flessione molto più contenuta rispetto ai territori limitrofi”</w:t>
      </w:r>
    </w:p>
    <w:p>
      <w:pPr>
        <w:pStyle w:val="Normal"/>
        <w:spacing w:lineRule="auto" w:line="276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Gli acquisti dall’estero della provincia sono diminuiti del -11,9% nel corso dei dodici mesi, attestandosi a quasi 1.780 milioni di euro nell’anno con un andamento negativo anche nell’ultimo trimestre (-11,7%). Simile la dinamica registrata a livello nazionale (-12,8%), mentre la Toscana ha chiuso l’anno con un +5,0%, condizionata fortemente dagli ingenti acquisti di metalli preziosi della provincia di Arezzo.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Sono questi i principali risultati che emergono dall’analisi dei dati ISTAT sul commercio estero effettuata dall’Ufficio Studi, Statistica e Politiche economiche della Camera di Commercio di Lucca.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A livello settoriale il </w:t>
      </w:r>
      <w:r>
        <w:rPr>
          <w:rFonts w:cs="Arial" w:ascii="Verdana" w:hAnsi="Verdana"/>
          <w:b/>
          <w:sz w:val="20"/>
          <w:szCs w:val="20"/>
        </w:rPr>
        <w:t>cartario</w:t>
      </w:r>
      <w:r>
        <w:rPr>
          <w:rFonts w:cs="Arial" w:ascii="Verdana" w:hAnsi="Verdana"/>
          <w:sz w:val="20"/>
          <w:szCs w:val="20"/>
        </w:rPr>
        <w:t xml:space="preserve"> si conferma il primo settore provinciale per vendite all’estero con 918 milioni di euro nell’anno, un valore in calo del -0,4% rispetto al 2019; dopo un primo trimestre in crescita e un secondo in lieve diminuzione, si è registrata una decisa contrazione delle esportazioni nel terzo trimestre cui è seguito un recupero nel quarto (+8,0%). Nei dodici mesi le vendite all’estero di pasta da carta, carta e cartone sono aumentate del +6,4% (+26,3% nel quarto trimestre) mentre quelle di articoli di carta e di cartone sono diminuite del -4,5% (-2,2% tra ottobre e dicembre).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La </w:t>
      </w:r>
      <w:r>
        <w:rPr>
          <w:rFonts w:cs="Arial" w:ascii="Verdana" w:hAnsi="Verdana"/>
          <w:b/>
          <w:sz w:val="20"/>
          <w:szCs w:val="20"/>
        </w:rPr>
        <w:t>meccanica</w:t>
      </w:r>
      <w:r>
        <w:rPr>
          <w:rFonts w:cs="Arial" w:ascii="Verdana" w:hAnsi="Verdana"/>
          <w:sz w:val="20"/>
          <w:szCs w:val="20"/>
        </w:rPr>
        <w:t xml:space="preserve">, secondo settore provinciale per export con oltre 750 milioni di euro, ha segnato nell’anno una caduta delle vendite all’estero del -9,6%, non riuscendo a recuperare la forte flessione rilevata tra aprile e giugno (-39,3%). In particolare, le vendite all’estero di </w:t>
      </w:r>
      <w:r>
        <w:rPr>
          <w:rFonts w:cs="Arial" w:ascii="Verdana" w:hAnsi="Verdana"/>
          <w:b/>
          <w:sz w:val="20"/>
          <w:szCs w:val="20"/>
        </w:rPr>
        <w:t>macchine per impieghi speciali</w:t>
      </w:r>
      <w:r>
        <w:rPr>
          <w:rFonts w:cs="Arial" w:ascii="Verdana" w:hAnsi="Verdana"/>
          <w:sz w:val="20"/>
          <w:szCs w:val="20"/>
        </w:rPr>
        <w:t xml:space="preserve"> sono scese del -10,2% nell’anno.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La </w:t>
      </w:r>
      <w:r>
        <w:rPr>
          <w:rFonts w:cs="Arial" w:ascii="Verdana" w:hAnsi="Verdana"/>
          <w:b/>
          <w:sz w:val="20"/>
          <w:szCs w:val="20"/>
        </w:rPr>
        <w:t>cantieristica</w:t>
      </w:r>
      <w:r>
        <w:rPr>
          <w:rFonts w:cs="Arial" w:ascii="Verdana" w:hAnsi="Verdana"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>nautica</w:t>
      </w:r>
      <w:r>
        <w:rPr>
          <w:rFonts w:cs="Arial" w:ascii="Verdana" w:hAnsi="Verdana"/>
          <w:sz w:val="20"/>
          <w:szCs w:val="20"/>
        </w:rPr>
        <w:t xml:space="preserve"> ha esportato natanti per 678 milioni di euro nell’anno, un valore in lieve calo rispetto al 2019 (-2,1%). Dopo il negativo andamento del secondo trimestre legato allo slittamento delle consegne d’imbarcazioni dovuto al periodo di lockdown, tra luglio e settembre si è registrato un forte recupero delle esportazioni, mentre nel trimestre di chiusura dell’anno si è osservato un nuovo calo.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Sono cresciute invece le </w:t>
      </w:r>
      <w:r>
        <w:rPr>
          <w:rFonts w:cs="Arial" w:ascii="Verdana" w:hAnsi="Verdana"/>
          <w:iCs/>
          <w:sz w:val="20"/>
          <w:szCs w:val="20"/>
        </w:rPr>
        <w:t xml:space="preserve">vendite all’estero dell’industria </w:t>
      </w:r>
      <w:r>
        <w:rPr>
          <w:rFonts w:cs="Arial" w:ascii="Verdana" w:hAnsi="Verdana"/>
          <w:b/>
          <w:iCs/>
          <w:sz w:val="20"/>
          <w:szCs w:val="20"/>
        </w:rPr>
        <w:t>alimentare e del tabacco</w:t>
      </w:r>
      <w:r>
        <w:rPr>
          <w:rFonts w:cs="Arial" w:ascii="Verdana" w:hAnsi="Verdana"/>
          <w:iCs/>
          <w:sz w:val="20"/>
          <w:szCs w:val="20"/>
        </w:rPr>
        <w:t xml:space="preserve"> (302 milioni di euro) con un +18,2% nell’anno grazie all’ottima dinamica registrata a partire dal secondo trimestre; i maggiori incrementi hanno interessato le vendite di</w:t>
      </w:r>
      <w:r>
        <w:rPr>
          <w:rFonts w:cs="Arial" w:ascii="Verdana" w:hAnsi="Verdana"/>
          <w:b/>
          <w:iCs/>
          <w:sz w:val="20"/>
          <w:szCs w:val="20"/>
        </w:rPr>
        <w:t xml:space="preserve"> </w:t>
      </w:r>
      <w:r>
        <w:rPr>
          <w:rFonts w:cs="Arial" w:ascii="Verdana" w:hAnsi="Verdana"/>
          <w:i/>
          <w:iCs/>
          <w:sz w:val="20"/>
          <w:szCs w:val="20"/>
        </w:rPr>
        <w:t>oli di oliva, semi, etc.</w:t>
      </w:r>
      <w:r>
        <w:rPr>
          <w:rFonts w:cs="Arial" w:ascii="Verdana" w:hAnsi="Verdana"/>
          <w:b/>
          <w:iCs/>
          <w:sz w:val="20"/>
          <w:szCs w:val="20"/>
        </w:rPr>
        <w:t xml:space="preserve"> </w:t>
      </w:r>
      <w:r>
        <w:rPr>
          <w:rFonts w:cs="Arial" w:ascii="Verdana" w:hAnsi="Verdana"/>
          <w:iCs/>
          <w:sz w:val="20"/>
          <w:szCs w:val="20"/>
        </w:rPr>
        <w:t>(+20,9% nei dodici mesi).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Sono diminuite invece le vendite all’estero della </w:t>
      </w:r>
      <w:r>
        <w:rPr>
          <w:rFonts w:cs="Arial" w:ascii="Verdana" w:hAnsi="Verdana"/>
          <w:b/>
          <w:sz w:val="20"/>
          <w:szCs w:val="20"/>
        </w:rPr>
        <w:t>fabbricazione di</w:t>
      </w:r>
      <w:r>
        <w:rPr>
          <w:rFonts w:cs="Arial" w:ascii="Verdana" w:hAnsi="Verdana"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>materiale</w:t>
      </w:r>
      <w:r>
        <w:rPr>
          <w:rFonts w:cs="Arial" w:ascii="Verdana" w:hAnsi="Verdana"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>elettrico e meccanica di precisione</w:t>
      </w:r>
      <w:r>
        <w:rPr>
          <w:rFonts w:cs="Arial" w:ascii="Verdana" w:hAnsi="Verdana"/>
          <w:sz w:val="20"/>
          <w:szCs w:val="20"/>
        </w:rPr>
        <w:t xml:space="preserve"> (286 milioni; -5,0%) nonostante un buon recupero nell’ultimo trimestre dell’anno, dell</w:t>
      </w:r>
      <w:r>
        <w:rPr>
          <w:rFonts w:cs="Arial" w:ascii="Verdana" w:hAnsi="Verdana"/>
          <w:iCs/>
          <w:sz w:val="20"/>
          <w:szCs w:val="20"/>
        </w:rPr>
        <w:t>’</w:t>
      </w:r>
      <w:r>
        <w:rPr>
          <w:rFonts w:cs="Arial" w:ascii="Verdana" w:hAnsi="Verdana"/>
          <w:sz w:val="20"/>
          <w:szCs w:val="20"/>
        </w:rPr>
        <w:t xml:space="preserve">industria </w:t>
      </w:r>
      <w:r>
        <w:rPr>
          <w:rFonts w:cs="Arial" w:ascii="Verdana" w:hAnsi="Verdana"/>
          <w:b/>
          <w:bCs/>
          <w:sz w:val="20"/>
          <w:szCs w:val="20"/>
        </w:rPr>
        <w:t>metallurgica</w:t>
      </w:r>
      <w:r>
        <w:rPr>
          <w:rFonts w:cs="Arial" w:ascii="Verdana" w:hAnsi="Verdana"/>
          <w:bCs/>
          <w:sz w:val="20"/>
          <w:szCs w:val="20"/>
        </w:rPr>
        <w:t xml:space="preserve"> (248 milioni; -13,5%), del</w:t>
      </w:r>
      <w:r>
        <w:rPr>
          <w:rFonts w:cs="Arial" w:ascii="Verdana" w:hAnsi="Verdana"/>
          <w:iCs/>
          <w:sz w:val="20"/>
          <w:szCs w:val="20"/>
        </w:rPr>
        <w:t xml:space="preserve">l’industria </w:t>
      </w:r>
      <w:r>
        <w:rPr>
          <w:rFonts w:cs="Arial" w:ascii="Verdana" w:hAnsi="Verdana"/>
          <w:b/>
          <w:iCs/>
          <w:sz w:val="20"/>
          <w:szCs w:val="20"/>
        </w:rPr>
        <w:t>chimica, delle vernici e farmaceutica</w:t>
      </w:r>
      <w:r>
        <w:rPr>
          <w:rFonts w:cs="Arial" w:ascii="Verdana" w:hAnsi="Verdana"/>
          <w:iCs/>
          <w:sz w:val="20"/>
          <w:szCs w:val="20"/>
        </w:rPr>
        <w:t xml:space="preserve"> (190 milioni) che ha limitato le perdite al -1,2% grazie a un buon recupero in chiusura d’anno, soprattutto della farmaceutica (+1,8% nei dodici mesi, +30,3% tra ottobre e dicembre). In forte calo invece l’industria </w:t>
      </w:r>
      <w:r>
        <w:rPr>
          <w:rFonts w:cs="Arial" w:ascii="Verdana" w:hAnsi="Verdana"/>
          <w:b/>
          <w:bCs/>
          <w:sz w:val="20"/>
          <w:szCs w:val="20"/>
        </w:rPr>
        <w:t>lapidea, del vetro e delle pietre estratte</w:t>
      </w:r>
      <w:r>
        <w:rPr>
          <w:rFonts w:cs="Arial" w:ascii="Verdana" w:hAnsi="Verdana"/>
          <w:bCs/>
          <w:sz w:val="20"/>
          <w:szCs w:val="20"/>
        </w:rPr>
        <w:t xml:space="preserve"> (138</w:t>
      </w:r>
      <w:r>
        <w:rPr>
          <w:rFonts w:cs="Arial" w:ascii="Verdana" w:hAnsi="Verdana"/>
          <w:sz w:val="20"/>
          <w:szCs w:val="20"/>
        </w:rPr>
        <w:t xml:space="preserve"> milioni) che ha visto diminuire del -12,8% le vendite all’estero, e il sistema moda che </w:t>
      </w:r>
      <w:r>
        <w:rPr>
          <w:rFonts w:cs="Arial" w:ascii="Verdana" w:hAnsi="Verdana"/>
          <w:iCs/>
          <w:sz w:val="20"/>
          <w:szCs w:val="20"/>
        </w:rPr>
        <w:t>si conferma in difficoltà, con il</w:t>
      </w:r>
      <w:r>
        <w:rPr>
          <w:rFonts w:cs="Arial" w:ascii="Verdana" w:hAnsi="Verdana"/>
          <w:b/>
          <w:iCs/>
          <w:sz w:val="20"/>
          <w:szCs w:val="20"/>
        </w:rPr>
        <w:t xml:space="preserve"> cuoio e calzature</w:t>
      </w:r>
      <w:r>
        <w:rPr>
          <w:rFonts w:cs="Arial" w:ascii="Verdana" w:hAnsi="Verdana"/>
          <w:iCs/>
          <w:sz w:val="20"/>
          <w:szCs w:val="20"/>
        </w:rPr>
        <w:t xml:space="preserve"> (105 milioni) in calo del -31,4% e il </w:t>
      </w:r>
      <w:r>
        <w:rPr>
          <w:rFonts w:cs="Arial" w:ascii="Verdana" w:hAnsi="Verdana"/>
          <w:b/>
          <w:iCs/>
          <w:sz w:val="20"/>
          <w:szCs w:val="20"/>
        </w:rPr>
        <w:t>tessile e</w:t>
      </w:r>
      <w:r>
        <w:rPr>
          <w:rFonts w:cs="Arial" w:ascii="Verdana" w:hAnsi="Verdana"/>
          <w:iCs/>
          <w:sz w:val="20"/>
          <w:szCs w:val="20"/>
        </w:rPr>
        <w:t xml:space="preserve"> </w:t>
      </w:r>
      <w:r>
        <w:rPr>
          <w:rFonts w:cs="Arial" w:ascii="Verdana" w:hAnsi="Verdana"/>
          <w:b/>
          <w:iCs/>
          <w:sz w:val="20"/>
          <w:szCs w:val="20"/>
        </w:rPr>
        <w:t>abbigliamento</w:t>
      </w:r>
      <w:r>
        <w:rPr>
          <w:rFonts w:cs="Arial" w:ascii="Verdana" w:hAnsi="Verdana"/>
          <w:iCs/>
          <w:sz w:val="20"/>
          <w:szCs w:val="20"/>
        </w:rPr>
        <w:t xml:space="preserve"> (57 milioni) sceso del -10,6%. 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iCs/>
          <w:sz w:val="20"/>
          <w:szCs w:val="20"/>
        </w:rPr>
        <w:t xml:space="preserve">La </w:t>
      </w:r>
      <w:r>
        <w:rPr>
          <w:rFonts w:cs="Arial" w:ascii="Verdana" w:hAnsi="Verdana"/>
          <w:b/>
          <w:iCs/>
          <w:sz w:val="20"/>
          <w:szCs w:val="20"/>
        </w:rPr>
        <w:t>gomma e plastica</w:t>
      </w:r>
      <w:r>
        <w:rPr>
          <w:rFonts w:cs="Arial" w:ascii="Verdana" w:hAnsi="Verdana"/>
          <w:iCs/>
          <w:sz w:val="20"/>
          <w:szCs w:val="20"/>
        </w:rPr>
        <w:t xml:space="preserve"> (103 milioni), invece, ha mostrato una dinamica positiva con un +13,8% nell’intero anno.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La flessione dell’export provinciale ha interessato particolarmente le vendite verso l’Europa che ha contenuto la caduta al -4,0% nel 2020 grazie a un recupero in chiusura d’anno (+10,8% nel quarto trimestre) soprattutto per la crescita delle vendite verso il Regno Unito (+55% nel quarto trimestre) probabilmente legate a politiche di scorte precauzionali in attesa dell’accordo sulla Brexit arrivato a fine anno; le esportazioni verso l’area UE27 (Regno Unito escluso) sono diminuite del -5,4%, mentre quelle verso l’area extra-UE27 sono cresciute del +0,5%. Le vendite verso il continente americano sono aumentate del +12,3%, con l’America settentrionale che ha segnato un +1,2% mentre per l’America centro-meridionale l’incremento ha toccato il +26,8%. Sono diminuite invece le vendite verso l’Africa (-9,6%), l’Asia (-9,9%) e l’Oceania.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La flessione delle importazioni provinciali (-11,9%) è stata determinata in buona parte dalla caduta del valore degli acquisti dall’estero del settore </w:t>
      </w:r>
      <w:r>
        <w:rPr>
          <w:rFonts w:cs="Arial" w:ascii="Verdana" w:hAnsi="Verdana"/>
          <w:b/>
          <w:sz w:val="20"/>
          <w:szCs w:val="20"/>
        </w:rPr>
        <w:t>cartario</w:t>
      </w:r>
      <w:r>
        <w:rPr>
          <w:rFonts w:cs="Arial" w:ascii="Verdana" w:hAnsi="Verdana"/>
          <w:sz w:val="20"/>
          <w:szCs w:val="20"/>
        </w:rPr>
        <w:t>, che si sono fermati a 512 milioni di euro nei dodici mesi per un -26,9% rispetto all’anno precedente.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Gli acquisti dell’industria </w:t>
      </w:r>
      <w:r>
        <w:rPr>
          <w:rFonts w:cs="Arial" w:ascii="Verdana" w:hAnsi="Verdana"/>
          <w:b/>
          <w:sz w:val="20"/>
          <w:szCs w:val="20"/>
        </w:rPr>
        <w:t>chimica, delle vernici e farmaceutica</w:t>
      </w:r>
      <w:r>
        <w:rPr>
          <w:rFonts w:cs="Arial" w:ascii="Verdana" w:hAnsi="Verdana"/>
          <w:sz w:val="20"/>
          <w:szCs w:val="20"/>
        </w:rPr>
        <w:t xml:space="preserve"> (291 milioni) sono cresciuti invece del +3,2% grazie alla </w:t>
      </w:r>
      <w:r>
        <w:rPr>
          <w:rFonts w:cs="Arial" w:ascii="Verdana" w:hAnsi="Verdana"/>
          <w:i/>
          <w:sz w:val="20"/>
          <w:szCs w:val="20"/>
        </w:rPr>
        <w:t>farmaceutica</w:t>
      </w:r>
      <w:r>
        <w:rPr>
          <w:rFonts w:cs="Arial" w:ascii="Verdana" w:hAnsi="Verdana"/>
          <w:sz w:val="20"/>
          <w:szCs w:val="20"/>
        </w:rPr>
        <w:t xml:space="preserve"> (+19,7% nel periodo), quelli della </w:t>
      </w:r>
      <w:r>
        <w:rPr>
          <w:rFonts w:cs="Arial" w:ascii="Verdana" w:hAnsi="Verdana"/>
          <w:b/>
          <w:bCs/>
          <w:sz w:val="20"/>
          <w:szCs w:val="20"/>
        </w:rPr>
        <w:t>fabbricazione di materiale elettrico e meccanica di precisione</w:t>
      </w:r>
      <w:r>
        <w:rPr>
          <w:rFonts w:cs="Arial" w:ascii="Verdana" w:hAnsi="Verdana"/>
          <w:bCs/>
          <w:sz w:val="20"/>
          <w:szCs w:val="20"/>
        </w:rPr>
        <w:t xml:space="preserve"> (77 milioni) del +12,2% e quelli d</w:t>
      </w:r>
      <w:r>
        <w:rPr>
          <w:rFonts w:cs="Arial" w:ascii="Verdana" w:hAnsi="Verdana"/>
          <w:sz w:val="20"/>
          <w:szCs w:val="20"/>
        </w:rPr>
        <w:t xml:space="preserve">i </w:t>
      </w:r>
      <w:r>
        <w:rPr>
          <w:rFonts w:cs="Arial" w:ascii="Verdana" w:hAnsi="Verdana"/>
          <w:b/>
          <w:sz w:val="20"/>
          <w:szCs w:val="20"/>
        </w:rPr>
        <w:t xml:space="preserve">prodotti agricoli </w:t>
      </w:r>
      <w:r>
        <w:rPr>
          <w:rFonts w:cs="Arial" w:ascii="Verdana" w:hAnsi="Verdana"/>
          <w:sz w:val="20"/>
          <w:szCs w:val="20"/>
        </w:rPr>
        <w:t>(30 milioni) del +8,6%.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Sono invece scesi gli acquisti dall’estero dell’industria </w:t>
      </w:r>
      <w:r>
        <w:rPr>
          <w:rFonts w:cs="Arial" w:ascii="Verdana" w:hAnsi="Verdana"/>
          <w:b/>
          <w:sz w:val="20"/>
          <w:szCs w:val="20"/>
        </w:rPr>
        <w:t xml:space="preserve">alimentare e del tabacco </w:t>
      </w:r>
      <w:r>
        <w:rPr>
          <w:rFonts w:cs="Arial" w:ascii="Verdana" w:hAnsi="Verdana"/>
          <w:sz w:val="20"/>
          <w:szCs w:val="20"/>
        </w:rPr>
        <w:t>(222 milioni), che ha segnato un -0,3% nell’anno, dell'</w:t>
      </w:r>
      <w:r>
        <w:rPr>
          <w:rFonts w:cs="Arial" w:ascii="Verdana" w:hAnsi="Verdana"/>
          <w:b/>
          <w:bCs/>
          <w:sz w:val="20"/>
          <w:szCs w:val="20"/>
        </w:rPr>
        <w:t>industria metallurgica</w:t>
      </w:r>
      <w:r>
        <w:rPr>
          <w:rFonts w:cs="Arial" w:ascii="Verdana" w:hAnsi="Verdana"/>
          <w:bCs/>
          <w:sz w:val="20"/>
          <w:szCs w:val="20"/>
        </w:rPr>
        <w:t xml:space="preserve"> (187 milioni; -4,7%)</w:t>
      </w:r>
      <w:r>
        <w:rPr>
          <w:rFonts w:cs="Arial" w:ascii="Verdana" w:hAnsi="Verdana"/>
          <w:sz w:val="20"/>
          <w:szCs w:val="20"/>
        </w:rPr>
        <w:t>, della</w:t>
      </w:r>
      <w:r>
        <w:rPr>
          <w:rFonts w:cs="Arial" w:ascii="Verdana" w:hAnsi="Verdana"/>
          <w:b/>
          <w:sz w:val="20"/>
          <w:szCs w:val="20"/>
        </w:rPr>
        <w:t xml:space="preserve"> meccanica</w:t>
      </w:r>
      <w:r>
        <w:rPr>
          <w:rFonts w:cs="Arial" w:ascii="Verdana" w:hAnsi="Verdana"/>
          <w:sz w:val="20"/>
          <w:szCs w:val="20"/>
        </w:rPr>
        <w:t xml:space="preserve"> (158 milioni; -11,4%), del </w:t>
      </w:r>
      <w:r>
        <w:rPr>
          <w:rFonts w:cs="Arial" w:ascii="Verdana" w:hAnsi="Verdana"/>
          <w:b/>
          <w:bCs/>
          <w:sz w:val="20"/>
          <w:szCs w:val="20"/>
        </w:rPr>
        <w:t>cuoio e calzature</w:t>
      </w:r>
      <w:r>
        <w:rPr>
          <w:rFonts w:cs="Arial" w:ascii="Verdana" w:hAnsi="Verdana"/>
          <w:bCs/>
          <w:sz w:val="20"/>
          <w:szCs w:val="20"/>
        </w:rPr>
        <w:t xml:space="preserve"> (-18,4%) e del </w:t>
      </w:r>
      <w:r>
        <w:rPr>
          <w:rFonts w:cs="Arial" w:ascii="Verdana" w:hAnsi="Verdana"/>
          <w:b/>
          <w:sz w:val="20"/>
          <w:szCs w:val="20"/>
        </w:rPr>
        <w:t>tessile e abbigliamento</w:t>
      </w:r>
      <w:r>
        <w:rPr>
          <w:rFonts w:cs="Arial" w:ascii="Verdana" w:hAnsi="Verdana"/>
          <w:sz w:val="20"/>
          <w:szCs w:val="20"/>
        </w:rPr>
        <w:t xml:space="preserve"> (-1,2%). Per la </w:t>
      </w:r>
      <w:r>
        <w:rPr>
          <w:rFonts w:cs="Arial" w:ascii="Verdana" w:hAnsi="Verdana"/>
          <w:b/>
          <w:sz w:val="20"/>
          <w:szCs w:val="20"/>
        </w:rPr>
        <w:t>gomma e plastica</w:t>
      </w:r>
      <w:r>
        <w:rPr>
          <w:rFonts w:cs="Arial" w:ascii="Verdana" w:hAnsi="Verdana"/>
          <w:sz w:val="20"/>
          <w:szCs w:val="20"/>
        </w:rPr>
        <w:t xml:space="preserve"> la flessione ha toccato il -16,0%, con un recupero a fine anno, mentre per il </w:t>
      </w:r>
      <w:r>
        <w:rPr>
          <w:rFonts w:cs="Arial" w:ascii="Verdana" w:hAnsi="Verdana"/>
          <w:b/>
          <w:sz w:val="20"/>
          <w:szCs w:val="20"/>
        </w:rPr>
        <w:t>lapideo, vetro e pietre estratte</w:t>
      </w:r>
      <w:r>
        <w:rPr>
          <w:rFonts w:cs="Arial" w:ascii="Verdana" w:hAnsi="Verdana"/>
          <w:sz w:val="20"/>
          <w:szCs w:val="20"/>
        </w:rPr>
        <w:t xml:space="preserve"> l’import è sceso del -10,6%.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Gli acquisti dall’estero sono diminuiti significativamente sia dall’Europa, in flessione del -10,2% per il calo dell’Area UE27 (-8,2%) e della extra-UE27 (-31,6%), sia dal continente americano (-23,3%). L’Asia ha contenuto la variazione negativa al -1,1%, mentre sono cresciuti gli acquisti dall’Africa e dall’Oceania.</w:t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  <w:r>
        <w:br w:type="page"/>
      </w:r>
    </w:p>
    <w:tbl>
      <w:tblPr>
        <w:tblW w:w="10058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67"/>
        <w:gridCol w:w="1493"/>
        <w:gridCol w:w="770"/>
        <w:gridCol w:w="1"/>
        <w:gridCol w:w="1566"/>
        <w:gridCol w:w="1"/>
        <w:gridCol w:w="899"/>
        <w:gridCol w:w="1"/>
        <w:gridCol w:w="1059"/>
      </w:tblGrid>
      <w:tr>
        <w:trPr>
          <w:trHeight w:val="270" w:hRule="atLeast"/>
        </w:trPr>
        <w:tc>
          <w:tcPr>
            <w:tcW w:w="10057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Esportazioni della provincia di Lucca per i principali settori e prodotti.. </w:t>
            </w:r>
          </w:p>
        </w:tc>
      </w:tr>
      <w:tr>
        <w:trPr>
          <w:trHeight w:val="270" w:hRule="atLeast"/>
        </w:trPr>
        <w:tc>
          <w:tcPr>
            <w:tcW w:w="809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Anni 2019 e 2020</w:t>
            </w:r>
          </w:p>
        </w:tc>
        <w:tc>
          <w:tcPr>
            <w:tcW w:w="9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color w:val="FF0000"/>
                <w:sz w:val="18"/>
                <w:szCs w:val="18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8097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Valori in euro, incidenza e variazioni % </w:t>
            </w:r>
          </w:p>
        </w:tc>
        <w:tc>
          <w:tcPr>
            <w:tcW w:w="9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color w:val="FF0000"/>
                <w:sz w:val="18"/>
                <w:szCs w:val="18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4267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  <w:insideH w:val="single" w:sz="4" w:space="0" w:color="333399"/>
              <w:insideV w:val="single" w:sz="4" w:space="0" w:color="FFFFFF"/>
            </w:tcBorders>
            <w:shd w:color="000000" w:fill="99CC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EXPORT</w:t>
            </w:r>
          </w:p>
        </w:tc>
        <w:tc>
          <w:tcPr>
            <w:tcW w:w="2263" w:type="dxa"/>
            <w:gridSpan w:val="2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Anno 2019 definitivo</w:t>
            </w:r>
          </w:p>
        </w:tc>
        <w:tc>
          <w:tcPr>
            <w:tcW w:w="2467" w:type="dxa"/>
            <w:gridSpan w:val="4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Anno 2020 provvisorio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99CC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Variaz.%</w:t>
            </w:r>
          </w:p>
        </w:tc>
      </w:tr>
      <w:tr>
        <w:trPr>
          <w:trHeight w:val="270" w:hRule="atLeast"/>
        </w:trPr>
        <w:tc>
          <w:tcPr>
            <w:tcW w:w="4267" w:type="dxa"/>
            <w:vMerge w:val="continue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  <w:insideH w:val="single" w:sz="4" w:space="0" w:color="333399"/>
              <w:insideV w:val="single" w:sz="4" w:space="0" w:color="FFFFFF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493" w:type="dxa"/>
            <w:tcBorders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FFFFFF"/>
              <w:insideH w:val="single" w:sz="4" w:space="0" w:color="333399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Incid.%</w:t>
            </w:r>
          </w:p>
        </w:tc>
        <w:tc>
          <w:tcPr>
            <w:tcW w:w="1567" w:type="dxa"/>
            <w:gridSpan w:val="2"/>
            <w:tcBorders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FFFFFF"/>
              <w:insideH w:val="single" w:sz="4" w:space="0" w:color="333399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Incid.%</w:t>
            </w:r>
          </w:p>
        </w:tc>
        <w:tc>
          <w:tcPr>
            <w:tcW w:w="1059" w:type="dxa"/>
            <w:vMerge w:val="continue"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Carta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921.773.849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22,6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918.180.197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-0,4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Pasta da carta, carta e cartone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345.219.420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8,4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367.307.873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9,4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6,4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ind w:firstLine="540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Articoli di carta e di cartone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576.554.429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14,1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550.872.324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14,1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-4,5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Meccanica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831.506.397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20,3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751.520.749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19,2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-9,6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Macchine per impieghi speciali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599.533.403</w:t>
            </w:r>
          </w:p>
        </w:tc>
        <w:tc>
          <w:tcPr>
            <w:tcW w:w="771" w:type="dxa"/>
            <w:gridSpan w:val="2"/>
            <w:tcBorders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14,7</w:t>
            </w:r>
          </w:p>
        </w:tc>
        <w:tc>
          <w:tcPr>
            <w:tcW w:w="156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538.585.016</w:t>
            </w:r>
          </w:p>
        </w:tc>
        <w:tc>
          <w:tcPr>
            <w:tcW w:w="900" w:type="dxa"/>
            <w:gridSpan w:val="2"/>
            <w:tcBorders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13,8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-10,2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Cantieristica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692.393.241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16,9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677.806.471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17,3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-2,1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Alimentari e tabacco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255.407.730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301.791.619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18,2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di cui   Olio di oliva, di semi, etc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186.499.802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4,6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225.492.563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20,9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Fabbric. mat. elettrico e mecc. di precisione</w:t>
            </w:r>
          </w:p>
        </w:tc>
        <w:tc>
          <w:tcPr>
            <w:tcW w:w="149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301.040.644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286.017.111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-5,0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Metallurgica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286.604.894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247.811.425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-13,5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Rame ed altri minerali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217.391.130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5,3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178.838.969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-17,7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Chimica, delle vernici e farmaceutica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191.932.433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189.652.355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-1,2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Farmaceutica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149.684.941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3,7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152.317.539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1,8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Lapidea, del Vetro, Pietre estratte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158.035.686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137.837.213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-12,8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Ind. Lapidea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107.642.802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2,6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91.498.062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-15,0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ind w:firstLine="540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Pietre estratte sabbia argilla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33.998.360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28.974.778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-14,8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ind w:firstLine="540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Ind. del vetro, mat. costruzione etc.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16.394.524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17.364.373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5,9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Cuoio e Calzature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152.969.565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104.884.804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-31,4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00000A"/>
              <w:insideH w:val="single" w:sz="4" w:space="0" w:color="333399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Ind. delle Calzature</w:t>
            </w:r>
          </w:p>
        </w:tc>
        <w:tc>
          <w:tcPr>
            <w:tcW w:w="1493" w:type="dxa"/>
            <w:tcBorders>
              <w:left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128.003.738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3,1</w:t>
            </w:r>
          </w:p>
        </w:tc>
        <w:tc>
          <w:tcPr>
            <w:tcW w:w="156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80.109.981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-37,4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Gomma e Plastica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90.466.993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102.925.034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13,8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Tessile e Abbigliamento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64.120.031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57.354.052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-10,6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 Filati per cucire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9.642.944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10.622.344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10,2</w:t>
            </w:r>
          </w:p>
        </w:tc>
      </w:tr>
      <w:tr>
        <w:trPr>
          <w:trHeight w:val="255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ind w:firstLine="540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Articoli a maglia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9.920.585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8.503.959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-14,3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Articoli di abbigliamento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44.556.502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38.227.749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-14,2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Altre attività economiche (1)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140.367.415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132.084.279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-5,9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TOTALE PROVINCIA LUCCA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4.086.618.878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3.907.865.309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-4,4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TOTALE TOSCANA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43.242.302.355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40.571.608.576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-6,2</w:t>
            </w:r>
          </w:p>
        </w:tc>
      </w:tr>
      <w:tr>
        <w:trPr>
          <w:trHeight w:val="270" w:hRule="atLeast"/>
        </w:trPr>
        <w:tc>
          <w:tcPr>
            <w:tcW w:w="426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TOTALE ITALIA</w:t>
            </w:r>
          </w:p>
        </w:tc>
        <w:tc>
          <w:tcPr>
            <w:tcW w:w="14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480.352.083.928</w:t>
            </w:r>
          </w:p>
        </w:tc>
        <w:tc>
          <w:tcPr>
            <w:tcW w:w="77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433.559.307.028</w:t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-9,7</w:t>
            </w:r>
          </w:p>
        </w:tc>
      </w:tr>
      <w:tr>
        <w:trPr>
          <w:trHeight w:val="270" w:hRule="atLeast"/>
        </w:trPr>
        <w:tc>
          <w:tcPr>
            <w:tcW w:w="8997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Fonte: Istat - Banca dati COE - Elaborazioni Ufficio Studi, Statistica e Politiche economiche CCIAA di Lucca</w:t>
            </w:r>
          </w:p>
        </w:tc>
        <w:tc>
          <w:tcPr>
            <w:tcW w:w="10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10057" w:type="dxa"/>
            <w:gridSpan w:val="9"/>
            <w:vMerge w:val="restart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  <w:szCs w:val="18"/>
              </w:rPr>
              <w:t>(1) Rientrano in questo raggruppamento: agricoltura e pesca, minerali energetici e non, ind. del legno e mobilio, prodotti dell'editoria e della stampa, altri mezzi trasporto, altre ind. manifatt. n.c.a., attività professionali e sociali.</w:t>
            </w:r>
          </w:p>
        </w:tc>
      </w:tr>
      <w:tr>
        <w:trPr>
          <w:trHeight w:val="23" w:hRule="exact"/>
        </w:trPr>
        <w:tc>
          <w:tcPr>
            <w:tcW w:w="10057" w:type="dxa"/>
            <w:gridSpan w:val="9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  <w:r>
        <w:br w:type="page"/>
      </w:r>
    </w:p>
    <w:tbl>
      <w:tblPr>
        <w:tblW w:w="10363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125"/>
        <w:gridCol w:w="1560"/>
        <w:gridCol w:w="991"/>
        <w:gridCol w:w="1"/>
        <w:gridCol w:w="1559"/>
        <w:gridCol w:w="992"/>
        <w:gridCol w:w="2"/>
        <w:gridCol w:w="1132"/>
      </w:tblGrid>
      <w:tr>
        <w:trPr>
          <w:trHeight w:val="270" w:hRule="atLeast"/>
        </w:trPr>
        <w:tc>
          <w:tcPr>
            <w:tcW w:w="10362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Importazioni della provincia di Lucca per i principali settori e prodotti. </w:t>
            </w:r>
          </w:p>
        </w:tc>
      </w:tr>
      <w:tr>
        <w:trPr>
          <w:trHeight w:val="270" w:hRule="atLeast"/>
        </w:trPr>
        <w:tc>
          <w:tcPr>
            <w:tcW w:w="10362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Anni 2019 e 2020</w:t>
            </w:r>
          </w:p>
        </w:tc>
      </w:tr>
      <w:tr>
        <w:trPr>
          <w:trHeight w:val="270" w:hRule="atLeast"/>
        </w:trPr>
        <w:tc>
          <w:tcPr>
            <w:tcW w:w="10362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Valori in euro, incidenza e variazioni % </w:t>
            </w:r>
          </w:p>
        </w:tc>
      </w:tr>
      <w:tr>
        <w:trPr>
          <w:trHeight w:val="270" w:hRule="atLeast"/>
        </w:trPr>
        <w:tc>
          <w:tcPr>
            <w:tcW w:w="4125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  <w:insideH w:val="single" w:sz="4" w:space="0" w:color="333399"/>
              <w:insideV w:val="single" w:sz="4" w:space="0" w:color="FFFFFF"/>
            </w:tcBorders>
            <w:shd w:color="000000" w:fill="99CC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IMPORT</w:t>
            </w:r>
          </w:p>
        </w:tc>
        <w:tc>
          <w:tcPr>
            <w:tcW w:w="2552" w:type="dxa"/>
            <w:gridSpan w:val="3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Anno 2019 definitivo</w:t>
            </w:r>
          </w:p>
        </w:tc>
        <w:tc>
          <w:tcPr>
            <w:tcW w:w="2553" w:type="dxa"/>
            <w:gridSpan w:val="3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Anno 2020 provvisorio</w:t>
            </w:r>
          </w:p>
        </w:tc>
        <w:tc>
          <w:tcPr>
            <w:tcW w:w="1132" w:type="dxa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333399"/>
              <w:insideH w:val="single" w:sz="4" w:space="0" w:color="FFFFFF"/>
              <w:insideV w:val="single" w:sz="4" w:space="0" w:color="333399"/>
            </w:tcBorders>
            <w:shd w:color="000000" w:fill="99CC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Variaz.%</w:t>
            </w:r>
          </w:p>
        </w:tc>
      </w:tr>
      <w:tr>
        <w:trPr>
          <w:trHeight w:val="270" w:hRule="atLeast"/>
        </w:trPr>
        <w:tc>
          <w:tcPr>
            <w:tcW w:w="4125" w:type="dxa"/>
            <w:vMerge w:val="continue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  <w:insideH w:val="single" w:sz="4" w:space="0" w:color="333399"/>
              <w:insideV w:val="single" w:sz="4" w:space="0" w:color="FFFFFF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991" w:type="dxa"/>
            <w:tcBorders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Incid.%</w:t>
            </w:r>
          </w:p>
        </w:tc>
        <w:tc>
          <w:tcPr>
            <w:tcW w:w="1560" w:type="dxa"/>
            <w:gridSpan w:val="2"/>
            <w:tcBorders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  <w:insideV w:val="single" w:sz="4" w:space="0" w:color="FFFFFF"/>
            </w:tcBorders>
            <w:shd w:color="000000" w:fill="99CCFF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Incid.%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333399"/>
              <w:insideH w:val="single" w:sz="4" w:space="0" w:color="FFFFFF"/>
              <w:insideV w:val="single" w:sz="4" w:space="0" w:color="333399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Carta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700.729.982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512.564.323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-26,9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Pasta da carta, carta e cartone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676.277.574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33,5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490.649.886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27,6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-27,4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Articoli di carta e di cartone </w:t>
            </w:r>
          </w:p>
        </w:tc>
        <w:tc>
          <w:tcPr>
            <w:tcW w:w="1560" w:type="dxa"/>
            <w:tcBorders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       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24.452.408 </w:t>
            </w:r>
          </w:p>
        </w:tc>
        <w:tc>
          <w:tcPr>
            <w:tcW w:w="991" w:type="dxa"/>
            <w:tcBorders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1560" w:type="dxa"/>
            <w:gridSpan w:val="2"/>
            <w:tcBorders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       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21.914.437 </w:t>
            </w:r>
          </w:p>
        </w:tc>
        <w:tc>
          <w:tcPr>
            <w:tcW w:w="992" w:type="dxa"/>
            <w:tcBorders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1134" w:type="dxa"/>
            <w:gridSpan w:val="2"/>
            <w:tcBorders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-10,4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Chimica, delle vernici e farmaceutica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281.930.810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291.090.837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16,4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3,2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Farmaceutica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128.166.321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6,3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153.366.573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19,7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Alimentari e tabacco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222.979.264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222.358.749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-0,3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Olio di oliva, di semi, etc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160.312.009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7,9</w:t>
            </w:r>
          </w:p>
        </w:tc>
        <w:tc>
          <w:tcPr>
            <w:tcW w:w="156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165.535.638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9,3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3,3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Metallurgica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196.721.955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187.382.834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-4,7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Rame ed altri minerali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170.613.836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8,5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150.323.719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8,4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-11,9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Meccanica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178.710.135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8,9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158.313.408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8,9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-11,4</w:t>
            </w:r>
          </w:p>
        </w:tc>
      </w:tr>
      <w:tr>
        <w:trPr>
          <w:trHeight w:val="24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Macchine per impieghi speciali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18"/>
                <w:szCs w:val="18"/>
              </w:rPr>
              <w:t>91.617.471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18"/>
                <w:szCs w:val="18"/>
              </w:rPr>
              <w:t>64.674.716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-29,4</w:t>
            </w:r>
          </w:p>
        </w:tc>
      </w:tr>
      <w:tr>
        <w:trPr>
          <w:trHeight w:val="24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Fabbric. mat. elettrico e mecc. di precisione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68.336.156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76.657.864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12,2</w:t>
            </w:r>
          </w:p>
        </w:tc>
      </w:tr>
      <w:tr>
        <w:trPr>
          <w:trHeight w:val="24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Cuoio e Calzature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65.567.635</w:t>
            </w:r>
          </w:p>
        </w:tc>
        <w:tc>
          <w:tcPr>
            <w:tcW w:w="991" w:type="dxa"/>
            <w:tcBorders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156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53.510.537</w:t>
            </w:r>
          </w:p>
        </w:tc>
        <w:tc>
          <w:tcPr>
            <w:tcW w:w="992" w:type="dxa"/>
            <w:tcBorders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left w:val="single" w:sz="4" w:space="0" w:color="333399"/>
              <w:right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-18,4</w:t>
            </w:r>
          </w:p>
        </w:tc>
      </w:tr>
      <w:tr>
        <w:trPr>
          <w:trHeight w:val="24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Ind. delle Calzature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47.741.893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333399"/>
              <w:bottom w:val="single" w:sz="4" w:space="0" w:color="00000A"/>
              <w:right w:val="single" w:sz="4" w:space="0" w:color="333399"/>
              <w:insideH w:val="single" w:sz="4" w:space="0" w:color="00000A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2,4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38.712.257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333399"/>
              <w:bottom w:val="single" w:sz="4" w:space="0" w:color="00000A"/>
              <w:right w:val="single" w:sz="4" w:space="0" w:color="333399"/>
              <w:insideH w:val="single" w:sz="4" w:space="0" w:color="00000A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333399"/>
              <w:bottom w:val="single" w:sz="4" w:space="0" w:color="00000A"/>
              <w:right w:val="single" w:sz="4" w:space="0" w:color="333399"/>
              <w:insideH w:val="single" w:sz="4" w:space="0" w:color="00000A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-18,9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Industria Tessile e Abbigliamento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53.532.486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333399"/>
              <w:bottom w:val="single" w:sz="4" w:space="0" w:color="00000A"/>
              <w:right w:val="single" w:sz="4" w:space="0" w:color="333399"/>
              <w:insideH w:val="single" w:sz="4" w:space="0" w:color="00000A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52.872.306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333399"/>
              <w:bottom w:val="single" w:sz="4" w:space="0" w:color="00000A"/>
              <w:right w:val="single" w:sz="4" w:space="0" w:color="333399"/>
              <w:insideH w:val="single" w:sz="4" w:space="0" w:color="00000A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333399"/>
              <w:bottom w:val="single" w:sz="4" w:space="0" w:color="00000A"/>
              <w:right w:val="single" w:sz="4" w:space="0" w:color="333399"/>
              <w:insideH w:val="single" w:sz="4" w:space="0" w:color="00000A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-1,2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Prodotti agricoli, caccia e pesca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27.530.573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29.898.682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8,6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Gomma e Plastica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35.026.109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29.435.620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-16,0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Lapidea, del Vetro, Pietre Estratte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27.546.593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24.630.421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-10,6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di cui   Ind. Lapidea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3.147.207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2.799.991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-11,0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ind w:firstLine="540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Pietre estratte sabbia e argilla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18"/>
                <w:szCs w:val="18"/>
              </w:rPr>
              <w:t>13.583.457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18"/>
                <w:szCs w:val="18"/>
              </w:rPr>
              <w:t>7.425.928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-45,3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ind w:firstLine="540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Ind. del vetro, materiale costruzione etc.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10.815.929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14.404.502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33,2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Ind. Cantieristica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44.844.075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11.556.417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-74,2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Altre attività economiche (1)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115.464.027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129.163.477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11,9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insideH w:val="single" w:sz="4" w:space="0" w:color="333399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TOTALE PROVINCIA LUCCA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2.018.919.800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1.779.435.475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-11,9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TOTALE TOSCANA</w:t>
            </w:r>
          </w:p>
        </w:tc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26.629.904.894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27.963.571.870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5,0</w:t>
            </w:r>
          </w:p>
        </w:tc>
      </w:tr>
      <w:tr>
        <w:trPr>
          <w:trHeight w:val="270" w:hRule="atLeast"/>
        </w:trPr>
        <w:tc>
          <w:tcPr>
            <w:tcW w:w="412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TOTALE ITALIA</w:t>
            </w:r>
          </w:p>
        </w:tc>
        <w:tc>
          <w:tcPr>
            <w:tcW w:w="15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424.236.226.652</w:t>
            </w:r>
          </w:p>
        </w:tc>
        <w:tc>
          <w:tcPr>
            <w:tcW w:w="99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369.969.407.829</w:t>
            </w:r>
          </w:p>
        </w:tc>
        <w:tc>
          <w:tcPr>
            <w:tcW w:w="9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cBorders>
            <w:shd w:color="000000" w:fill="CCCCFF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-12,8</w:t>
            </w:r>
          </w:p>
        </w:tc>
      </w:tr>
      <w:tr>
        <w:trPr>
          <w:trHeight w:val="270" w:hRule="atLeast"/>
        </w:trPr>
        <w:tc>
          <w:tcPr>
            <w:tcW w:w="9230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Fonte: Istat - Banca dati COE - Elaborazioni Ufficio Studi, Statistica e Politiche economiche CCIAA di Lucca</w:t>
            </w:r>
          </w:p>
        </w:tc>
        <w:tc>
          <w:tcPr>
            <w:tcW w:w="113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10362" w:type="dxa"/>
            <w:gridSpan w:val="8"/>
            <w:vMerge w:val="restart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  <w:szCs w:val="18"/>
              </w:rPr>
              <w:t>(1) Rientrano in questo raggruppamento: minerali energetici e non, ind. del legno e mobilio, prodotti dell'editoria e della stampa, altri mezzi trasporto, altre ind. manifatt. n.c.a., attività professionali e sociali.</w:t>
            </w:r>
          </w:p>
        </w:tc>
      </w:tr>
      <w:tr>
        <w:trPr>
          <w:trHeight w:val="23" w:hRule="exact"/>
        </w:trPr>
        <w:tc>
          <w:tcPr>
            <w:tcW w:w="10362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240" w:after="0"/>
        <w:jc w:val="both"/>
        <w:rPr>
          <w:rFonts w:ascii="Verdana" w:hAnsi="Verdana" w:eastAsia="Verdana" w:cs="Verdana"/>
          <w:b/>
          <w:b/>
          <w:bCs/>
          <w:color w:val="000000"/>
          <w:sz w:val="22"/>
          <w:szCs w:val="22"/>
        </w:rPr>
      </w:pPr>
      <w:r>
        <w:rPr>
          <w:rFonts w:eastAsia="Verdana" w:cs="Verdana"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spacing w:before="240" w:after="0"/>
        <w:jc w:val="both"/>
        <w:rPr>
          <w:rFonts w:ascii="Verdana" w:hAnsi="Verdana" w:eastAsia="Verdana" w:cs="Verdana"/>
          <w:bCs/>
          <w:color w:val="000000"/>
          <w:sz w:val="22"/>
          <w:szCs w:val="22"/>
        </w:rPr>
      </w:pPr>
      <w:r>
        <w:rPr>
          <w:rFonts w:eastAsia="Verdana" w:cs="Verdana" w:ascii="Verdana" w:hAnsi="Verdana"/>
          <w:bCs/>
          <w:color w:val="000000"/>
          <w:sz w:val="22"/>
          <w:szCs w:val="22"/>
        </w:rPr>
      </w:r>
    </w:p>
    <w:p>
      <w:pPr>
        <w:pStyle w:val="Normal"/>
        <w:spacing w:before="240" w:after="0"/>
        <w:jc w:val="both"/>
        <w:rPr>
          <w:rFonts w:ascii="Verdana" w:hAnsi="Verdana" w:eastAsia="Verdana" w:cs="Verdana"/>
          <w:bCs/>
          <w:color w:val="000000"/>
          <w:sz w:val="22"/>
          <w:szCs w:val="22"/>
        </w:rPr>
      </w:pPr>
      <w:r>
        <w:rPr>
          <w:rFonts w:eastAsia="Verdana" w:cs="Verdana" w:ascii="Verdana" w:hAnsi="Verdana"/>
          <w:bCs/>
          <w:color w:val="000000"/>
          <w:sz w:val="22"/>
          <w:szCs w:val="22"/>
        </w:rPr>
      </w:r>
    </w:p>
    <w:tbl>
      <w:tblPr>
        <w:tblW w:w="95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14"/>
        <w:gridCol w:w="3565"/>
      </w:tblGrid>
      <w:tr>
        <w:trPr>
          <w:trHeight w:val="680" w:hRule="atLeast"/>
        </w:trPr>
        <w:tc>
          <w:tcPr>
            <w:tcW w:w="6014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</w:rPr>
              <w:t>Francesca Sargenti</w:t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5" w:type="dxa"/>
            <w:tcBorders/>
            <w:shd w:color="auto" w:fill="FFFFFF" w:val="clear"/>
          </w:tcPr>
          <w:p>
            <w:pPr>
              <w:pStyle w:val="Normal"/>
              <w:jc w:val="right"/>
              <w:rPr/>
            </w:pPr>
            <w:hyperlink r:id="rId2">
              <w:r>
                <w:rPr>
                  <w:rStyle w:val="CollegamentoInternet"/>
                </w:rPr>
                <w:drawing>
                  <wp:inline distT="0" distB="0" distL="0" distR="0">
                    <wp:extent cx="219075" cy="219075"/>
                    <wp:effectExtent l="0" t="0" r="0" b="0"/>
                    <wp:docPr id="1" name="Picture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eastAsia="Verdana" w:cs="Verdana" w:ascii="Verdana" w:hAnsi="Verdana"/>
                <w:b/>
                <w:color w:val="000000"/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CollegamentoInternet"/>
                  <w:rFonts w:eastAsia="Verdana" w:cs="Verdana" w:ascii="Verdana" w:hAnsi="Verdana"/>
                  <w:b/>
                  <w:color w:val="000000"/>
                  <w:sz w:val="24"/>
                  <w:szCs w:val="24"/>
                </w:rPr>
                <w:drawing>
                  <wp:inline distT="0" distB="0" distL="0" distR="0">
                    <wp:extent cx="225425" cy="225425"/>
                    <wp:effectExtent l="0" t="0" r="0" b="0"/>
                    <wp:docPr id="2" name="Immagine1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eastAsia="Verdana" w:cs="Verdana" w:ascii="Verdana" w:hAnsi="Verdana"/>
                <w:b/>
                <w:color w:val="000000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CollegamentoInternet"/>
                  <w:rFonts w:eastAsia="Verdana" w:cs="Verdana" w:ascii="Verdana" w:hAnsi="Verdana"/>
                  <w:b/>
                  <w:color w:val="000000"/>
                  <w:sz w:val="24"/>
                  <w:szCs w:val="24"/>
                </w:rPr>
                <w:drawing>
                  <wp:inline distT="0" distB="0" distL="0" distR="0">
                    <wp:extent cx="229235" cy="228600"/>
                    <wp:effectExtent l="0" t="0" r="0" b="0"/>
                    <wp:docPr id="3" name="Immagine2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CollegamentoInternet"/>
                  <w:rFonts w:eastAsia="Verdana" w:cs="Verdana" w:ascii="Verdana" w:hAnsi="Verdana"/>
                  <w:b/>
                  <w:color w:val="000000"/>
                  <w:sz w:val="24"/>
                  <w:szCs w:val="24"/>
                </w:rPr>
                <w:drawing>
                  <wp:inline distT="0" distB="0" distL="0" distR="0">
                    <wp:extent cx="428625" cy="229235"/>
                    <wp:effectExtent l="0" t="0" r="0" b="0"/>
                    <wp:docPr id="4" name="Immagine3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Immagine3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>
      <w:pPr>
        <w:pStyle w:val="Normal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134" w:right="1134" w:header="851" w:top="2268" w:footer="7" w:bottom="938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Arial Narrow" w:hAnsi="Arial Narrow" w:eastAsia="Arial Narrow" w:cs="Arial Narrow"/>
        <w:color w:val="000000"/>
        <w:sz w:val="16"/>
        <w:szCs w:val="16"/>
      </w:rPr>
    </w:pPr>
    <w:r>
      <w:rPr>
        <w:rFonts w:eastAsia="Arial Narrow" w:cs="Arial Narrow" w:ascii="Arial Narrow" w:hAnsi="Arial Narrow"/>
        <w:color w:val="000000"/>
        <w:sz w:val="16"/>
        <w:szCs w:val="16"/>
      </w:rPr>
    </w:r>
  </w:p>
  <w:p>
    <w:pPr>
      <w:pStyle w:val="Normal"/>
      <w:jc w:val="center"/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eastAsia="Arial Narrow" w:cs="Arial Narrow" w:ascii="Arial Narrow" w:hAnsi="Arial Narrow"/>
        <w:color w:val="A09289"/>
        <w:sz w:val="16"/>
        <w:szCs w:val="16"/>
      </w:rPr>
      <w:t>Corte Campana, 10 - 55100 Lucca - T +39 0583 9765   F +39 0583 199 99 82</w:t>
    </w:r>
  </w:p>
  <w:p>
    <w:pPr>
      <w:pStyle w:val="Normal"/>
      <w:ind w:left="851" w:hanging="0"/>
      <w:jc w:val="center"/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color w:val="A09289"/>
        <w:sz w:val="16"/>
        <w:szCs w:val="16"/>
      </w:rPr>
      <w:t>cameracommercio@lu.camcom.it - p.e.c. camera.commercio.lucca@lu.legalmail.camcom.it - www.lu.camcom.it</w:t>
    </w:r>
  </w:p>
  <w:p>
    <w:pPr>
      <w:pStyle w:val="Normal"/>
      <w:tabs>
        <w:tab w:val="center" w:pos="4819" w:leader="none"/>
        <w:tab w:val="right" w:pos="9638" w:leader="none"/>
      </w:tabs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color w:val="A09289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/>
      <w:drawing>
        <wp:inline distT="0" distB="0" distL="0" distR="0">
          <wp:extent cx="1962150" cy="533400"/>
          <wp:effectExtent l="0" t="0" r="0" b="0"/>
          <wp:docPr id="5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Verdana" w:ascii="Verdana" w:hAnsi="Verdana"/>
        <w:sz w:val="22"/>
        <w:shd w:fill="FFFFFF" w:val="clear"/>
      </w:rPr>
      <w:tab/>
      <w:tab/>
    </w:r>
    <w:r>
      <w:rPr>
        <w:rFonts w:cs="Verdana" w:ascii="Verdana" w:hAnsi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35db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35db2"/>
    <w:rPr/>
  </w:style>
  <w:style w:type="character" w:styleId="CollegamentoInternet" w:customStyle="1">
    <w:name w:val="Collegamento Internet"/>
    <w:basedOn w:val="DefaultParagraphFont"/>
    <w:uiPriority w:val="99"/>
    <w:unhideWhenUsed/>
    <w:rsid w:val="00dc6129"/>
    <w:rPr>
      <w:color w:val="0000FF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1501cb"/>
    <w:rPr>
      <w:color w:val="605E5C"/>
      <w:shd w:fill="E1DFDD" w:val="clear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Verdana" w:cs="Verdana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605c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 w:customStyle="1">
    <w:name w:val="Title"/>
    <w:basedOn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ottotitolo">
    <w:name w:val="Subtitle"/>
    <w:basedOn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link w:val="IntestazioneCarattere"/>
    <w:unhideWhenUsed/>
    <w:rsid w:val="00535db2"/>
    <w:pPr>
      <w:tabs>
        <w:tab w:val="center" w:pos="4513" w:leader="none"/>
        <w:tab w:val="right" w:pos="9026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35db2"/>
    <w:pPr>
      <w:tabs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eb0aa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605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.camcom.it/" TargetMode="External"/><Relationship Id="rId3" Type="http://schemas.openxmlformats.org/officeDocument/2006/relationships/image" Target="media/image1.jpeg"/><Relationship Id="rId4" Type="http://schemas.openxmlformats.org/officeDocument/2006/relationships/hyperlink" Target="mailto:info@lu.camcom.it" TargetMode="External"/><Relationship Id="rId5" Type="http://schemas.openxmlformats.org/officeDocument/2006/relationships/image" Target="media/image2.jpeg"/><Relationship Id="rId6" Type="http://schemas.openxmlformats.org/officeDocument/2006/relationships/hyperlink" Target="https://www.facebook.com/CameraCommercioLucca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LibreOffice/5.2.5.1$Windows_x86 LibreOffice_project/0312e1a284a7d50ca85a365c316c7abbf20a4d22</Application>
  <Pages>4</Pages>
  <Words>1735</Words>
  <Characters>10160</Characters>
  <CharactersWithSpaces>11617</CharactersWithSpaces>
  <Paragraphs>378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2021-01-26T07:35:00Z</dcterms:created>
  <dc:creator>Sargenti Francesca</dc:creator>
  <dc:description/>
  <dc:language>it-IT</dc:language>
  <cp:lastModifiedBy/>
  <dcterms:modified xsi:type="dcterms:W3CDTF">2021-03-12T11:04:29Z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