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D51B7E" w14:textId="77777777" w:rsidR="00BC1839" w:rsidRDefault="00BC1839">
      <w:pPr>
        <w:pStyle w:val="Titolo8"/>
        <w:jc w:val="center"/>
      </w:pPr>
    </w:p>
    <w:p w14:paraId="1EA046DE" w14:textId="77777777" w:rsidR="00BC1839" w:rsidRDefault="00BC1839">
      <w:pPr>
        <w:pStyle w:val="Titolo8"/>
        <w:jc w:val="center"/>
      </w:pPr>
    </w:p>
    <w:p w14:paraId="7B2A5009" w14:textId="798C8391" w:rsidR="001B23F6" w:rsidRDefault="007E01DC">
      <w:pPr>
        <w:pStyle w:val="Titolo8"/>
        <w:jc w:val="center"/>
      </w:pPr>
      <w:r>
        <w:t>Allerta sanitaria: usate i servizi on line</w:t>
      </w:r>
    </w:p>
    <w:p w14:paraId="6FB2DE55" w14:textId="77777777" w:rsidR="007E01DC" w:rsidRDefault="007E01DC" w:rsidP="007E01DC">
      <w:pPr>
        <w:jc w:val="center"/>
        <w:rPr>
          <w:rFonts w:ascii="Verdana" w:hAnsi="Verdana" w:cs="Arial"/>
          <w:sz w:val="22"/>
          <w:szCs w:val="22"/>
        </w:rPr>
      </w:pPr>
      <w:r w:rsidRPr="007E01DC">
        <w:rPr>
          <w:rFonts w:ascii="Verdana" w:hAnsi="Verdana" w:cs="Arial"/>
          <w:sz w:val="22"/>
          <w:szCs w:val="22"/>
        </w:rPr>
        <w:t>Gli sportelli camerali sono chiusi al pubblico fino al 3 aprile</w:t>
      </w:r>
      <w:r>
        <w:rPr>
          <w:rFonts w:ascii="Verdana" w:hAnsi="Verdana" w:cs="Arial"/>
          <w:sz w:val="22"/>
          <w:szCs w:val="22"/>
        </w:rPr>
        <w:t>.</w:t>
      </w:r>
    </w:p>
    <w:p w14:paraId="18DA5214" w14:textId="3DCACFBB" w:rsidR="007E01DC" w:rsidRPr="007E01DC" w:rsidRDefault="007E01DC" w:rsidP="007E01DC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</w:t>
      </w:r>
      <w:r w:rsidRPr="007E01DC">
        <w:rPr>
          <w:rFonts w:ascii="Verdana" w:hAnsi="Verdana" w:cs="Arial"/>
          <w:sz w:val="22"/>
          <w:szCs w:val="22"/>
        </w:rPr>
        <w:t>arantito il servizio on line</w:t>
      </w:r>
    </w:p>
    <w:p w14:paraId="66109747" w14:textId="77777777" w:rsidR="001B23F6" w:rsidRDefault="001B23F6">
      <w:pPr>
        <w:jc w:val="both"/>
        <w:rPr>
          <w:rFonts w:ascii="Verdana" w:hAnsi="Verdana" w:cs="Verdana"/>
          <w:b/>
          <w:bCs/>
          <w:sz w:val="28"/>
          <w:szCs w:val="20"/>
        </w:rPr>
      </w:pPr>
    </w:p>
    <w:p w14:paraId="63084AB1" w14:textId="77777777" w:rsidR="007E01DC" w:rsidRDefault="00050361" w:rsidP="007E01DC">
      <w:pPr>
        <w:pStyle w:val="Corpotesto"/>
        <w:jc w:val="both"/>
      </w:pPr>
      <w:r w:rsidRPr="00CD4050">
        <w:rPr>
          <w:i/>
          <w:iCs/>
        </w:rPr>
        <w:t xml:space="preserve">Lucca, </w:t>
      </w:r>
      <w:r w:rsidR="007E01DC">
        <w:rPr>
          <w:i/>
          <w:iCs/>
        </w:rPr>
        <w:t>10</w:t>
      </w:r>
      <w:r w:rsidR="00D43D6B">
        <w:rPr>
          <w:i/>
          <w:iCs/>
        </w:rPr>
        <w:t xml:space="preserve"> marzo</w:t>
      </w:r>
      <w:r w:rsidRPr="00CD4050">
        <w:rPr>
          <w:i/>
          <w:iCs/>
        </w:rPr>
        <w:t xml:space="preserve"> 20</w:t>
      </w:r>
      <w:r w:rsidR="00642A78" w:rsidRPr="00CD4050">
        <w:rPr>
          <w:i/>
          <w:iCs/>
        </w:rPr>
        <w:t>20</w:t>
      </w:r>
      <w:r w:rsidR="00D43D6B">
        <w:rPr>
          <w:i/>
          <w:iCs/>
        </w:rPr>
        <w:t xml:space="preserve"> </w:t>
      </w:r>
      <w:r>
        <w:t>–</w:t>
      </w:r>
      <w:r w:rsidR="007E01DC">
        <w:t xml:space="preserve"> Da domani 11 marzo fino al 3 aprile 2020 tutti gli sportelli della Camera di Commercio di Lucca sono chiusi al pubblico, a causa dell'emergenza sanitaria Covid-19. </w:t>
      </w:r>
    </w:p>
    <w:p w14:paraId="7A25E777" w14:textId="753AF660" w:rsidR="007E01DC" w:rsidRDefault="007E01DC" w:rsidP="007E01DC">
      <w:pPr>
        <w:pStyle w:val="Corpotesto"/>
        <w:jc w:val="both"/>
      </w:pPr>
      <w:r>
        <w:t>L’ente camerale invita l’utenza ad utilizzare i servizi on line, il canale telefonico ed e -mail. In particolare il servizio telefonico è garantito tutti i giorni dalle ore 9:00 alle ore 13:00 e il lunedì e il mercoledì anche dalle ore 15:00 alle ore 16:00 da parte di tutti gli uffici.</w:t>
      </w:r>
    </w:p>
    <w:p w14:paraId="1B2DB93E" w14:textId="77777777" w:rsidR="007E01DC" w:rsidRDefault="007E01DC" w:rsidP="007E01DC">
      <w:pPr>
        <w:pStyle w:val="Corpotesto"/>
        <w:jc w:val="both"/>
      </w:pPr>
    </w:p>
    <w:p w14:paraId="573EC164" w14:textId="1175E6FF" w:rsidR="007E01DC" w:rsidRDefault="007E01DC" w:rsidP="007E01DC">
      <w:pPr>
        <w:pStyle w:val="Corpotesto"/>
        <w:jc w:val="both"/>
      </w:pPr>
      <w:r>
        <w:t xml:space="preserve">Per i servizi, sotto elencati, </w:t>
      </w:r>
      <w:r w:rsidR="0092229A">
        <w:t>se</w:t>
      </w:r>
      <w:r>
        <w:t xml:space="preserve"> non possono essere erogati in modalità telematica o</w:t>
      </w:r>
      <w:r w:rsidR="0092229A">
        <w:t>vvero se non so</w:t>
      </w:r>
      <w:r>
        <w:t>no differibile, l’interessato ne può fare richiesta tramite canale telefonico o via mail, e sarà fissato appuntamento ai fini del rilascio del servizio. I servizi fruibili su prenotazione e appuntamento sono i seguenti:</w:t>
      </w:r>
    </w:p>
    <w:p w14:paraId="1D8E0C32" w14:textId="77777777" w:rsidR="007E01DC" w:rsidRDefault="007E01DC" w:rsidP="007E01DC">
      <w:pPr>
        <w:pStyle w:val="Corpotesto"/>
        <w:numPr>
          <w:ilvl w:val="0"/>
          <w:numId w:val="3"/>
        </w:numPr>
        <w:jc w:val="both"/>
      </w:pPr>
      <w:r>
        <w:t>rilascio di certificati registro delle imprese</w:t>
      </w:r>
    </w:p>
    <w:p w14:paraId="6D769F18" w14:textId="77777777" w:rsidR="007E01DC" w:rsidRDefault="007E01DC" w:rsidP="007E01DC">
      <w:pPr>
        <w:pStyle w:val="Corpotesto"/>
        <w:numPr>
          <w:ilvl w:val="0"/>
          <w:numId w:val="3"/>
        </w:numPr>
        <w:jc w:val="both"/>
      </w:pPr>
      <w:r>
        <w:t>deposito libri ai fini della vidimazione</w:t>
      </w:r>
    </w:p>
    <w:p w14:paraId="7AC2601D" w14:textId="77777777" w:rsidR="007E01DC" w:rsidRDefault="007E01DC" w:rsidP="007E01DC">
      <w:pPr>
        <w:pStyle w:val="Corpotesto"/>
        <w:numPr>
          <w:ilvl w:val="0"/>
          <w:numId w:val="3"/>
        </w:numPr>
        <w:jc w:val="both"/>
      </w:pPr>
      <w:r>
        <w:t>rilascio carte tachigrafiche</w:t>
      </w:r>
    </w:p>
    <w:p w14:paraId="0DEE373E" w14:textId="77777777" w:rsidR="007E01DC" w:rsidRDefault="007E01DC" w:rsidP="007E01DC">
      <w:pPr>
        <w:pStyle w:val="Corpotesto"/>
        <w:numPr>
          <w:ilvl w:val="0"/>
          <w:numId w:val="3"/>
        </w:numPr>
        <w:jc w:val="both"/>
      </w:pPr>
      <w:r>
        <w:t>rilascio di documenti di accompagnamento delle merci per l’estero</w:t>
      </w:r>
    </w:p>
    <w:p w14:paraId="06C9FEFF" w14:textId="77777777" w:rsidR="007E01DC" w:rsidRDefault="007E01DC" w:rsidP="007E01DC">
      <w:pPr>
        <w:pStyle w:val="Corpotesto"/>
        <w:numPr>
          <w:ilvl w:val="0"/>
          <w:numId w:val="3"/>
        </w:numPr>
        <w:jc w:val="both"/>
      </w:pPr>
      <w:r>
        <w:t>istanza cancellazione protesti</w:t>
      </w:r>
    </w:p>
    <w:p w14:paraId="22D8C07C" w14:textId="77777777" w:rsidR="007E01DC" w:rsidRDefault="007E01DC" w:rsidP="007E01DC">
      <w:pPr>
        <w:pStyle w:val="Corpotesto"/>
        <w:jc w:val="both"/>
      </w:pPr>
      <w:bookmarkStart w:id="0" w:name="_GoBack"/>
      <w:bookmarkEnd w:id="0"/>
    </w:p>
    <w:p w14:paraId="043F2521" w14:textId="494A4DCA" w:rsidR="007E01DC" w:rsidRDefault="007E01DC" w:rsidP="007E01DC">
      <w:pPr>
        <w:pStyle w:val="Corpotesto"/>
        <w:jc w:val="both"/>
      </w:pPr>
      <w:r>
        <w:t xml:space="preserve">Si ricorda che le imprese possono estrarre </w:t>
      </w:r>
      <w:r w:rsidRPr="007E01DC">
        <w:rPr>
          <w:b/>
        </w:rPr>
        <w:t>gratuitamente</w:t>
      </w:r>
      <w:r>
        <w:t xml:space="preserve"> i propri documenti (visure, atti, bilanci) attraverso il </w:t>
      </w:r>
      <w:r w:rsidRPr="007E01DC">
        <w:rPr>
          <w:b/>
        </w:rPr>
        <w:t>cassetto digitale</w:t>
      </w:r>
      <w:r>
        <w:t xml:space="preserve"> dell’imprenditore utilizzando, per l’accesso, lo </w:t>
      </w:r>
      <w:proofErr w:type="spellStart"/>
      <w:r>
        <w:t>spid</w:t>
      </w:r>
      <w:proofErr w:type="spellEnd"/>
      <w:r>
        <w:t xml:space="preserve"> o la firma digitale.</w:t>
      </w:r>
    </w:p>
    <w:p w14:paraId="20AAE538" w14:textId="77777777" w:rsidR="007E01DC" w:rsidRDefault="007E01DC" w:rsidP="007E01DC">
      <w:pPr>
        <w:pStyle w:val="Corpotesto"/>
        <w:jc w:val="both"/>
      </w:pPr>
      <w:r>
        <w:t>Visure, atti e bilanci di altre imprese sono accessibili tramite il sito registroimprese.it con pagamento con carta di credito.</w:t>
      </w:r>
    </w:p>
    <w:p w14:paraId="313EA441" w14:textId="453E59C7" w:rsidR="007E01DC" w:rsidRDefault="007E01DC" w:rsidP="007E01DC">
      <w:pPr>
        <w:pStyle w:val="Corpotesto"/>
        <w:jc w:val="both"/>
      </w:pPr>
      <w:r>
        <w:t>Per il ritiro di certificati di origine già richiesti on line è possibile inviare un proprio corriere che dovrà rivolgersi all'usciere camerale. Per future richieste, è fortemente consigliata l'adesione al servizio stampa in azienda.</w:t>
      </w:r>
    </w:p>
    <w:p w14:paraId="4B302D40" w14:textId="77777777" w:rsidR="007E01DC" w:rsidRDefault="007E01DC" w:rsidP="007E01DC">
      <w:pPr>
        <w:pStyle w:val="Corpotesto"/>
        <w:jc w:val="both"/>
      </w:pPr>
    </w:p>
    <w:p w14:paraId="091689A8" w14:textId="50AE00E9" w:rsidR="006A1FD2" w:rsidRDefault="007E01DC" w:rsidP="007E01DC">
      <w:pPr>
        <w:pStyle w:val="Corpotesto"/>
        <w:jc w:val="both"/>
      </w:pPr>
      <w:r>
        <w:t>Tutti gli eventi aggregativi di qualsiasi natura (convegni, seminari, commissioni ecc.) sono rinvia</w:t>
      </w:r>
      <w:r w:rsidRPr="007E01DC">
        <w:t xml:space="preserve"> rinviati a data successiva al 3 aprile 2020, salvo ulteriori aggiornamenti. Per ulteriori informazioni consultare le pagine dedicate ai singoli eventi.</w:t>
      </w:r>
    </w:p>
    <w:p w14:paraId="3E65D5A4" w14:textId="52E78F30" w:rsidR="007E01DC" w:rsidRDefault="007E01DC" w:rsidP="007E01DC">
      <w:pPr>
        <w:pStyle w:val="Corpotesto"/>
        <w:jc w:val="both"/>
      </w:pPr>
    </w:p>
    <w:p w14:paraId="186D0326" w14:textId="77777777" w:rsidR="00BC1839" w:rsidRPr="00CD4050" w:rsidRDefault="00BC1839" w:rsidP="007E01DC">
      <w:pPr>
        <w:pStyle w:val="Corpotesto"/>
        <w:jc w:val="both"/>
      </w:pPr>
    </w:p>
    <w:tbl>
      <w:tblPr>
        <w:tblpPr w:leftFromText="141" w:rightFromText="141" w:vertAnchor="text" w:horzAnchor="margin" w:tblpY="9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050361" w:rsidRPr="00912EDA" w14:paraId="3ADCC96B" w14:textId="77777777" w:rsidTr="00D302A8">
        <w:trPr>
          <w:trHeight w:val="683"/>
        </w:trPr>
        <w:tc>
          <w:tcPr>
            <w:tcW w:w="6015" w:type="dxa"/>
            <w:shd w:val="clear" w:color="auto" w:fill="auto"/>
          </w:tcPr>
          <w:p w14:paraId="559749E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27FB4ECE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F0B028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146D2979" w14:textId="77777777" w:rsidR="00050361" w:rsidRPr="00912EDA" w:rsidRDefault="00050361" w:rsidP="00D302A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5F3F4052" wp14:editId="18936E1F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6AF4570D" wp14:editId="3ABC8BFA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6E52D234" wp14:editId="7A5713AB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799A6DD8" wp14:editId="3474F8DF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EC22" w14:textId="77777777" w:rsidR="00050361" w:rsidRPr="00C417C0" w:rsidRDefault="00050361" w:rsidP="00050361">
      <w:pPr>
        <w:pStyle w:val="Corpotesto"/>
        <w:spacing w:after="283"/>
        <w:rPr>
          <w:sz w:val="20"/>
          <w:szCs w:val="20"/>
          <w:shd w:val="clear" w:color="auto" w:fill="FFFFFF"/>
        </w:rPr>
      </w:pPr>
    </w:p>
    <w:p w14:paraId="6D9A9B28" w14:textId="77777777" w:rsidR="00050361" w:rsidRDefault="00050361" w:rsidP="00050361">
      <w:pPr>
        <w:pStyle w:val="Titolo7"/>
        <w:jc w:val="center"/>
      </w:pPr>
    </w:p>
    <w:p w14:paraId="0D83B30D" w14:textId="77777777" w:rsidR="00050361" w:rsidRP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sectPr w:rsidR="00050361" w:rsidRPr="00050361" w:rsidSect="00D43D6B">
      <w:headerReference w:type="default" r:id="rId15"/>
      <w:footerReference w:type="default" r:id="rId16"/>
      <w:footnotePr>
        <w:pos w:val="beneathText"/>
      </w:footnotePr>
      <w:pgSz w:w="11906" w:h="16838"/>
      <w:pgMar w:top="1985" w:right="1134" w:bottom="1985" w:left="1134" w:header="708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7553" w14:textId="77777777" w:rsidR="00587775" w:rsidRDefault="00587775">
      <w:r>
        <w:separator/>
      </w:r>
    </w:p>
  </w:endnote>
  <w:endnote w:type="continuationSeparator" w:id="0">
    <w:p w14:paraId="65AEA688" w14:textId="77777777" w:rsidR="00587775" w:rsidRDefault="005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986E" w14:textId="77777777" w:rsidR="001B23F6" w:rsidRDefault="00050361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87178AC" w14:textId="77777777" w:rsidR="001B23F6" w:rsidRDefault="00050361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2E4D" w14:textId="77777777" w:rsidR="00587775" w:rsidRDefault="00587775">
      <w:r>
        <w:separator/>
      </w:r>
    </w:p>
  </w:footnote>
  <w:footnote w:type="continuationSeparator" w:id="0">
    <w:p w14:paraId="04EC6B54" w14:textId="77777777" w:rsidR="00587775" w:rsidRDefault="0058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26E9" w14:textId="4AF7FF30" w:rsidR="001B23F6" w:rsidRDefault="006A3638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3113CF6D" wp14:editId="70320BB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0" y="0"/>
              <wp:lineTo x="0" y="20656"/>
              <wp:lineTo x="21427" y="20656"/>
              <wp:lineTo x="21427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61">
      <w:rPr>
        <w:rFonts w:ascii="Verdana" w:eastAsia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  <w:t>comunicato stampa</w:t>
    </w:r>
  </w:p>
  <w:p w14:paraId="23B492A3" w14:textId="77777777" w:rsidR="001B23F6" w:rsidRDefault="001B23F6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616A3075" w14:textId="77777777" w:rsidR="001B23F6" w:rsidRDefault="00050361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D7292"/>
    <w:multiLevelType w:val="hybridMultilevel"/>
    <w:tmpl w:val="5112B972"/>
    <w:lvl w:ilvl="0" w:tplc="A0C40BF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57A7"/>
    <w:multiLevelType w:val="hybridMultilevel"/>
    <w:tmpl w:val="ED66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8"/>
    <w:rsid w:val="00050361"/>
    <w:rsid w:val="001B23F6"/>
    <w:rsid w:val="00370C39"/>
    <w:rsid w:val="00587775"/>
    <w:rsid w:val="00642A78"/>
    <w:rsid w:val="006A1FD2"/>
    <w:rsid w:val="006A3638"/>
    <w:rsid w:val="007E01DC"/>
    <w:rsid w:val="007F589D"/>
    <w:rsid w:val="008132D6"/>
    <w:rsid w:val="008C5088"/>
    <w:rsid w:val="0092229A"/>
    <w:rsid w:val="00BC1839"/>
    <w:rsid w:val="00C3562A"/>
    <w:rsid w:val="00CB3D0E"/>
    <w:rsid w:val="00CD09BA"/>
    <w:rsid w:val="00CD4050"/>
    <w:rsid w:val="00D43D6B"/>
    <w:rsid w:val="00D94A96"/>
    <w:rsid w:val="00E44D1D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142C"/>
  <w15:chartTrackingRefBased/>
  <w15:docId w15:val="{CD1A121E-F404-4E85-A509-2B6818E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filtrilabel">
    <w:name w:val="filtrilabel"/>
    <w:basedOn w:val="WW-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</w:style>
  <w:style w:type="character" w:customStyle="1" w:styleId="mk-love-count">
    <w:name w:val="mk-love-count"/>
    <w:basedOn w:val="Carpredefinitoparagrafo"/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character" w:customStyle="1" w:styleId="element-invisible">
    <w:name w:val="element-invisible"/>
    <w:basedOn w:val="Carpredefinitoparagrafo"/>
  </w:style>
  <w:style w:type="paragraph" w:customStyle="1" w:styleId="Contenutotabella">
    <w:name w:val="Contenuto tabella"/>
    <w:basedOn w:val="Normale"/>
    <w:rsid w:val="00050361"/>
    <w:pPr>
      <w:suppressLineNumbers/>
    </w:pPr>
    <w:rPr>
      <w:rFonts w:ascii="Arial" w:eastAsia="Times New Roman" w:hAnsi="Arial"/>
      <w:kern w:val="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2083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mailto:segreteria.generale@lu.camcom.it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sargentifrancesca@gmail.com</cp:lastModifiedBy>
  <cp:revision>5</cp:revision>
  <cp:lastPrinted>2017-12-13T11:25:00Z</cp:lastPrinted>
  <dcterms:created xsi:type="dcterms:W3CDTF">2020-03-10T15:30:00Z</dcterms:created>
  <dcterms:modified xsi:type="dcterms:W3CDTF">2020-03-10T16:12:00Z</dcterms:modified>
</cp:coreProperties>
</file>