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2A5009" w14:textId="69753648" w:rsidR="001B23F6" w:rsidRDefault="005F300D">
      <w:pPr>
        <w:pStyle w:val="Titolo8"/>
        <w:jc w:val="center"/>
      </w:pPr>
      <w:r>
        <w:t xml:space="preserve">42.714 le imprese </w:t>
      </w:r>
      <w:r w:rsidRPr="005F300D">
        <w:t>registrate</w:t>
      </w:r>
      <w:r w:rsidRPr="00B7599F">
        <w:t xml:space="preserve"> </w:t>
      </w:r>
      <w:r>
        <w:t>in provincia di Lucca</w:t>
      </w:r>
    </w:p>
    <w:p w14:paraId="66109747" w14:textId="77777777" w:rsidR="001B23F6" w:rsidRDefault="001B23F6">
      <w:pPr>
        <w:jc w:val="both"/>
        <w:rPr>
          <w:rFonts w:ascii="Verdana" w:hAnsi="Verdana" w:cs="Verdana"/>
          <w:b/>
          <w:bCs/>
          <w:sz w:val="28"/>
          <w:szCs w:val="20"/>
        </w:rPr>
      </w:pPr>
    </w:p>
    <w:p w14:paraId="091689A8" w14:textId="319D7CCF" w:rsidR="006A1FD2" w:rsidRPr="006E0900" w:rsidRDefault="00050361" w:rsidP="009B1C36">
      <w:pPr>
        <w:pStyle w:val="Corpotesto"/>
        <w:jc w:val="both"/>
        <w:rPr>
          <w:sz w:val="20"/>
          <w:szCs w:val="20"/>
        </w:rPr>
      </w:pPr>
      <w:r w:rsidRPr="006E0900">
        <w:rPr>
          <w:i/>
          <w:iCs/>
          <w:sz w:val="20"/>
          <w:szCs w:val="20"/>
        </w:rPr>
        <w:t xml:space="preserve">Lucca, </w:t>
      </w:r>
      <w:r w:rsidR="00F372FA">
        <w:rPr>
          <w:i/>
          <w:iCs/>
          <w:sz w:val="20"/>
          <w:szCs w:val="20"/>
        </w:rPr>
        <w:t>7</w:t>
      </w:r>
      <w:r w:rsidR="00D94A96" w:rsidRPr="006E0900">
        <w:rPr>
          <w:i/>
          <w:iCs/>
          <w:sz w:val="20"/>
          <w:szCs w:val="20"/>
        </w:rPr>
        <w:t xml:space="preserve"> febbraio</w:t>
      </w:r>
      <w:r w:rsidRPr="006E0900">
        <w:rPr>
          <w:i/>
          <w:iCs/>
          <w:sz w:val="20"/>
          <w:szCs w:val="20"/>
        </w:rPr>
        <w:t xml:space="preserve"> 20</w:t>
      </w:r>
      <w:r w:rsidR="00642A78" w:rsidRPr="006E0900">
        <w:rPr>
          <w:i/>
          <w:iCs/>
          <w:sz w:val="20"/>
          <w:szCs w:val="20"/>
        </w:rPr>
        <w:t>20</w:t>
      </w:r>
      <w:r w:rsidRPr="006E0900">
        <w:rPr>
          <w:sz w:val="20"/>
          <w:szCs w:val="20"/>
        </w:rPr>
        <w:t>–</w:t>
      </w:r>
      <w:r w:rsidR="00D94A96" w:rsidRPr="006E0900">
        <w:rPr>
          <w:sz w:val="20"/>
          <w:szCs w:val="20"/>
        </w:rPr>
        <w:t xml:space="preserve"> </w:t>
      </w:r>
      <w:r w:rsidR="002F4892" w:rsidRPr="006E0900">
        <w:rPr>
          <w:sz w:val="20"/>
          <w:szCs w:val="20"/>
        </w:rPr>
        <w:t xml:space="preserve">Sono </w:t>
      </w:r>
      <w:r w:rsidR="002F4892" w:rsidRPr="006E0900">
        <w:rPr>
          <w:b/>
          <w:bCs/>
          <w:sz w:val="20"/>
          <w:szCs w:val="20"/>
        </w:rPr>
        <w:t>42.714 unità le imprese registrate</w:t>
      </w:r>
      <w:r w:rsidR="002F4892" w:rsidRPr="006E0900">
        <w:rPr>
          <w:sz w:val="20"/>
          <w:szCs w:val="20"/>
        </w:rPr>
        <w:t xml:space="preserve"> in provincia di Lucca al 31 dicembre 2019</w:t>
      </w:r>
      <w:r w:rsidR="006E0900">
        <w:rPr>
          <w:sz w:val="20"/>
          <w:szCs w:val="20"/>
        </w:rPr>
        <w:t xml:space="preserve"> con </w:t>
      </w:r>
      <w:r w:rsidR="002F4892" w:rsidRPr="006E0900">
        <w:rPr>
          <w:sz w:val="20"/>
          <w:szCs w:val="20"/>
        </w:rPr>
        <w:t xml:space="preserve">una diminuzione di 167 unità (-0,4%) rispetto all’anno precedente </w:t>
      </w:r>
      <w:r w:rsidR="00B7599F" w:rsidRPr="006E0900">
        <w:rPr>
          <w:sz w:val="20"/>
          <w:szCs w:val="20"/>
        </w:rPr>
        <w:t>a conferma del protrarsi dell’onda lunga della crisi economica iniziata nel 2008 e che si è manifestata con fasi alterne fino ad oggi</w:t>
      </w:r>
      <w:r w:rsidR="009C01F8">
        <w:rPr>
          <w:sz w:val="20"/>
          <w:szCs w:val="20"/>
        </w:rPr>
        <w:t>. Q</w:t>
      </w:r>
      <w:r w:rsidR="00B7599F" w:rsidRPr="006E0900">
        <w:rPr>
          <w:sz w:val="20"/>
          <w:szCs w:val="20"/>
        </w:rPr>
        <w:t>uesto è quanto risulta dall’analisi dei dati statistici elaborati dall’ufficio Studi e statistica della Camera di Commercio di Lucca.</w:t>
      </w:r>
    </w:p>
    <w:p w14:paraId="2F4F77FB" w14:textId="40ECFFC5" w:rsidR="002F4892" w:rsidRPr="006E0900" w:rsidRDefault="002F4892" w:rsidP="002F4892">
      <w:pPr>
        <w:pStyle w:val="Body1"/>
        <w:tabs>
          <w:tab w:val="left" w:pos="3270"/>
          <w:tab w:val="left" w:pos="3855"/>
        </w:tabs>
        <w:jc w:val="both"/>
        <w:rPr>
          <w:rStyle w:val="Enfasigrassetto"/>
          <w:rFonts w:ascii="Verdana" w:hAnsi="Verdana" w:cs="Verdana"/>
          <w:b w:val="0"/>
          <w:bCs w:val="0"/>
          <w:sz w:val="20"/>
        </w:rPr>
      </w:pPr>
      <w:r w:rsidRPr="006E0900">
        <w:rPr>
          <w:rStyle w:val="Enfasigrassetto"/>
          <w:rFonts w:ascii="Verdana" w:hAnsi="Verdana" w:cs="Verdana"/>
          <w:b w:val="0"/>
          <w:bCs w:val="0"/>
          <w:sz w:val="20"/>
        </w:rPr>
        <w:t>“Il rallentamento dell’economia nazionale e mondiale - ha commentato Giorgio Bartoli, Presidente della Camera di Commercio di Lucca – continua a farsi sentire anche nel tessuto imprenditoriale del nostro territorio.”</w:t>
      </w:r>
    </w:p>
    <w:p w14:paraId="724EEDAC" w14:textId="160F8C96" w:rsidR="009B1C36" w:rsidRPr="006E0900" w:rsidRDefault="002F4892" w:rsidP="002F4892">
      <w:pPr>
        <w:pStyle w:val="Corpotesto"/>
        <w:jc w:val="both"/>
        <w:rPr>
          <w:sz w:val="20"/>
          <w:szCs w:val="20"/>
        </w:rPr>
      </w:pPr>
      <w:r w:rsidRPr="006E0900">
        <w:rPr>
          <w:sz w:val="20"/>
          <w:szCs w:val="20"/>
        </w:rPr>
        <w:t xml:space="preserve">A guadagnare terreno è stato il settore dei </w:t>
      </w:r>
      <w:r w:rsidRPr="006E0900">
        <w:rPr>
          <w:b/>
          <w:bCs/>
          <w:sz w:val="20"/>
          <w:szCs w:val="20"/>
        </w:rPr>
        <w:t>servizi</w:t>
      </w:r>
      <w:r w:rsidRPr="006E0900">
        <w:rPr>
          <w:sz w:val="20"/>
          <w:szCs w:val="20"/>
        </w:rPr>
        <w:t xml:space="preserve">, comprendente 23.193 imprese attive a fine dicembre 2019, con una crescita di appena 33 imprese per un +0,1% nell’anno. Si </w:t>
      </w:r>
      <w:proofErr w:type="spellStart"/>
      <w:r w:rsidR="00916C62">
        <w:rPr>
          <w:sz w:val="20"/>
          <w:szCs w:val="20"/>
        </w:rPr>
        <w:t>contaggono</w:t>
      </w:r>
      <w:proofErr w:type="spellEnd"/>
      <w:r w:rsidRPr="006E0900">
        <w:rPr>
          <w:sz w:val="20"/>
          <w:szCs w:val="20"/>
        </w:rPr>
        <w:t xml:space="preserve"> invece gli altri settori </w:t>
      </w:r>
      <w:r w:rsidR="009B1C36" w:rsidRPr="006E0900">
        <w:rPr>
          <w:sz w:val="20"/>
          <w:szCs w:val="20"/>
        </w:rPr>
        <w:t xml:space="preserve">del tessuto imprenditoriale lucchese: in particolare, le </w:t>
      </w:r>
      <w:r w:rsidR="009B1C36" w:rsidRPr="006E0900">
        <w:rPr>
          <w:b/>
          <w:bCs/>
          <w:sz w:val="20"/>
          <w:szCs w:val="20"/>
        </w:rPr>
        <w:t>costruzioni</w:t>
      </w:r>
      <w:r w:rsidR="009B1C36" w:rsidRPr="006E0900">
        <w:rPr>
          <w:sz w:val="20"/>
          <w:szCs w:val="20"/>
        </w:rPr>
        <w:t xml:space="preserve"> hanno continuato a segnalare maggiori difficoltà, scendendo a quota 6.207 imprese attive a fine dicembre per 85 unità in meno (-1,4%) nei dodici mesi. All’interno del comparto industriale, il </w:t>
      </w:r>
      <w:r w:rsidR="009B1C36" w:rsidRPr="006E0900">
        <w:rPr>
          <w:b/>
          <w:bCs/>
          <w:sz w:val="20"/>
          <w:szCs w:val="20"/>
        </w:rPr>
        <w:t>manifatturiero</w:t>
      </w:r>
      <w:r w:rsidR="009B1C36" w:rsidRPr="006E0900">
        <w:rPr>
          <w:sz w:val="20"/>
          <w:szCs w:val="20"/>
        </w:rPr>
        <w:t xml:space="preserve"> ha perso 11 unità (-0,3%) attestandosi a 4.208 imprese operative a fine periodo</w:t>
      </w:r>
      <w:r w:rsidRPr="006E0900">
        <w:rPr>
          <w:sz w:val="20"/>
          <w:szCs w:val="20"/>
        </w:rPr>
        <w:t xml:space="preserve">. </w:t>
      </w:r>
      <w:r w:rsidR="009B1C36" w:rsidRPr="006E0900">
        <w:rPr>
          <w:sz w:val="20"/>
          <w:szCs w:val="20"/>
        </w:rPr>
        <w:t xml:space="preserve">Sono rimaste stabili le imprese dell’istruzione e </w:t>
      </w:r>
      <w:r w:rsidR="006E0900" w:rsidRPr="006E0900">
        <w:rPr>
          <w:sz w:val="20"/>
          <w:szCs w:val="20"/>
        </w:rPr>
        <w:t>della</w:t>
      </w:r>
      <w:r w:rsidR="009B1C36" w:rsidRPr="006E0900">
        <w:rPr>
          <w:sz w:val="20"/>
          <w:szCs w:val="20"/>
        </w:rPr>
        <w:t xml:space="preserve"> sanità e assistenza sociale.</w:t>
      </w:r>
      <w:r w:rsidRPr="006E0900">
        <w:rPr>
          <w:sz w:val="20"/>
          <w:szCs w:val="20"/>
        </w:rPr>
        <w:t xml:space="preserve"> </w:t>
      </w:r>
      <w:r w:rsidR="006E0900" w:rsidRPr="006E0900">
        <w:rPr>
          <w:sz w:val="20"/>
          <w:szCs w:val="20"/>
        </w:rPr>
        <w:t xml:space="preserve">Si sono mostrate contrazione per </w:t>
      </w:r>
      <w:r w:rsidR="009B1C36" w:rsidRPr="006E0900">
        <w:rPr>
          <w:sz w:val="20"/>
          <w:szCs w:val="20"/>
        </w:rPr>
        <w:t xml:space="preserve">il </w:t>
      </w:r>
      <w:r w:rsidR="006E0900" w:rsidRPr="006E0900">
        <w:rPr>
          <w:sz w:val="20"/>
          <w:szCs w:val="20"/>
        </w:rPr>
        <w:t xml:space="preserve">settore del </w:t>
      </w:r>
      <w:r w:rsidR="009B1C36" w:rsidRPr="006E0900">
        <w:rPr>
          <w:b/>
          <w:bCs/>
          <w:sz w:val="20"/>
          <w:szCs w:val="20"/>
        </w:rPr>
        <w:t>commercio</w:t>
      </w:r>
      <w:r w:rsidR="009B1C36" w:rsidRPr="006E0900">
        <w:rPr>
          <w:sz w:val="20"/>
          <w:szCs w:val="20"/>
        </w:rPr>
        <w:t xml:space="preserve">, diminuito di 80 unità (-0,8%) a quota 9.345, </w:t>
      </w:r>
      <w:r w:rsidR="006E0900" w:rsidRPr="006E0900">
        <w:rPr>
          <w:sz w:val="20"/>
          <w:szCs w:val="20"/>
        </w:rPr>
        <w:t>del</w:t>
      </w:r>
      <w:r w:rsidR="009B1C36" w:rsidRPr="006E0900">
        <w:rPr>
          <w:sz w:val="20"/>
          <w:szCs w:val="20"/>
        </w:rPr>
        <w:t>le attività finanziarie e assicurative</w:t>
      </w:r>
      <w:r w:rsidR="006E0900" w:rsidRPr="006E0900">
        <w:rPr>
          <w:sz w:val="20"/>
          <w:szCs w:val="20"/>
        </w:rPr>
        <w:t>, del</w:t>
      </w:r>
      <w:r w:rsidR="009B1C36" w:rsidRPr="006E0900">
        <w:rPr>
          <w:sz w:val="20"/>
          <w:szCs w:val="20"/>
        </w:rPr>
        <w:t>le attività di trasporto e magazzinaggio</w:t>
      </w:r>
      <w:r w:rsidR="006E0900" w:rsidRPr="006E0900">
        <w:rPr>
          <w:sz w:val="20"/>
          <w:szCs w:val="20"/>
        </w:rPr>
        <w:t xml:space="preserve">, </w:t>
      </w:r>
      <w:r w:rsidR="006E0900" w:rsidRPr="006E0900">
        <w:rPr>
          <w:sz w:val="20"/>
          <w:szCs w:val="20"/>
        </w:rPr>
        <w:t>delle</w:t>
      </w:r>
      <w:r w:rsidR="009B1C36" w:rsidRPr="006E0900">
        <w:rPr>
          <w:sz w:val="20"/>
          <w:szCs w:val="20"/>
        </w:rPr>
        <w:t xml:space="preserve"> attività artistiche, sportive, di intrattenime</w:t>
      </w:r>
      <w:bookmarkStart w:id="0" w:name="_GoBack"/>
      <w:bookmarkEnd w:id="0"/>
      <w:r w:rsidR="009B1C36" w:rsidRPr="006E0900">
        <w:rPr>
          <w:sz w:val="20"/>
          <w:szCs w:val="20"/>
        </w:rPr>
        <w:t>nto e divertimento.</w:t>
      </w:r>
      <w:r w:rsidRPr="006E0900">
        <w:rPr>
          <w:sz w:val="20"/>
          <w:szCs w:val="20"/>
        </w:rPr>
        <w:t xml:space="preserve"> </w:t>
      </w:r>
      <w:r w:rsidR="009B1C36" w:rsidRPr="006E0900">
        <w:rPr>
          <w:sz w:val="20"/>
          <w:szCs w:val="20"/>
        </w:rPr>
        <w:t>È proseguita inoltre la flessione dell’agricoltura, silvicoltura e pesca (2.346 imprese attive), in calo di 83 unità (-3,4%) nell’anno.</w:t>
      </w:r>
    </w:p>
    <w:p w14:paraId="667175EB" w14:textId="621C4EF4" w:rsidR="009B1C36" w:rsidRPr="006E0900" w:rsidRDefault="002F4892" w:rsidP="009B1C36">
      <w:pPr>
        <w:pStyle w:val="Pidipagina"/>
        <w:tabs>
          <w:tab w:val="right" w:pos="9044"/>
        </w:tabs>
        <w:jc w:val="both"/>
        <w:rPr>
          <w:rFonts w:ascii="Verdana" w:hAnsi="Verdana"/>
          <w:sz w:val="20"/>
          <w:szCs w:val="20"/>
        </w:rPr>
      </w:pPr>
      <w:r w:rsidRPr="006E0900">
        <w:rPr>
          <w:rFonts w:ascii="Verdana" w:hAnsi="Verdana"/>
          <w:sz w:val="20"/>
          <w:szCs w:val="20"/>
        </w:rPr>
        <w:t>Il</w:t>
      </w:r>
      <w:r w:rsidR="009B1C36" w:rsidRPr="006E0900">
        <w:rPr>
          <w:rFonts w:ascii="Verdana" w:hAnsi="Verdana"/>
          <w:sz w:val="20"/>
          <w:szCs w:val="20"/>
        </w:rPr>
        <w:t xml:space="preserve"> comparto </w:t>
      </w:r>
      <w:r w:rsidR="009B1C36" w:rsidRPr="006E0900">
        <w:rPr>
          <w:rFonts w:ascii="Verdana" w:hAnsi="Verdana"/>
          <w:b/>
          <w:bCs/>
          <w:sz w:val="20"/>
          <w:szCs w:val="20"/>
        </w:rPr>
        <w:t>artigiano</w:t>
      </w:r>
      <w:r w:rsidR="009B1C36" w:rsidRPr="006E0900">
        <w:rPr>
          <w:rFonts w:ascii="Verdana" w:hAnsi="Verdana"/>
          <w:sz w:val="20"/>
          <w:szCs w:val="20"/>
        </w:rPr>
        <w:t xml:space="preserve"> </w:t>
      </w:r>
      <w:r w:rsidRPr="006E0900">
        <w:rPr>
          <w:rFonts w:ascii="Verdana" w:hAnsi="Verdana"/>
          <w:sz w:val="20"/>
          <w:szCs w:val="20"/>
        </w:rPr>
        <w:t>è sempre in</w:t>
      </w:r>
      <w:r w:rsidR="009B1C36" w:rsidRPr="006E0900">
        <w:rPr>
          <w:rFonts w:ascii="Verdana" w:hAnsi="Verdana"/>
          <w:sz w:val="20"/>
          <w:szCs w:val="20"/>
        </w:rPr>
        <w:t xml:space="preserve"> difficoltà</w:t>
      </w:r>
      <w:r w:rsidR="006E0900" w:rsidRPr="006E0900">
        <w:rPr>
          <w:rFonts w:ascii="Verdana" w:hAnsi="Verdana"/>
          <w:sz w:val="20"/>
          <w:szCs w:val="20"/>
        </w:rPr>
        <w:t>. I</w:t>
      </w:r>
      <w:r w:rsidR="009B1C36" w:rsidRPr="006E0900">
        <w:rPr>
          <w:rFonts w:ascii="Verdana" w:hAnsi="Verdana"/>
          <w:sz w:val="20"/>
          <w:szCs w:val="20"/>
        </w:rPr>
        <w:t>l numero di imprese artigiane attive in provincia è infatti sceso a 11.112 unità a fine anno, in calo di un ulteriore -1,2% (-140 unità) rispetto a dodici mesi prima. L’incidenza del comparto artigiano sul tessuto imprenditoriale operativo provinciale si è quindi ulteriormente ridotta portandosi al 30,7% dal 31,0% di fine 2018. Le iscrizioni di imprese artigiane hanno però evidenziato un lieve recupero, con 784 unità (7,0% delle registrate) nell’anno, un dato distante dalle oltre mille iscrizioni all’anno rilevate fino al 2012 ma che rappresenta il valore più elevato degli ultimi quattro anni. Le 924 cessazioni (8,2%) registrate nei dodici mesi rappresentano invece uno dei valori più bassi dell’ultimo decennio, anche se restano ancora al di sopra del numero delle nuove iscritte.</w:t>
      </w:r>
    </w:p>
    <w:p w14:paraId="25DC5D05" w14:textId="6B2EBFD0" w:rsidR="009B1C36" w:rsidRPr="006E0900" w:rsidRDefault="009B1C36" w:rsidP="009B1C36">
      <w:pPr>
        <w:pStyle w:val="Pidipagina"/>
        <w:tabs>
          <w:tab w:val="right" w:pos="9044"/>
        </w:tabs>
        <w:jc w:val="both"/>
        <w:rPr>
          <w:rFonts w:ascii="Verdana" w:hAnsi="Verdana"/>
          <w:sz w:val="20"/>
          <w:szCs w:val="20"/>
        </w:rPr>
      </w:pPr>
      <w:r w:rsidRPr="006E0900">
        <w:rPr>
          <w:rFonts w:ascii="Verdana" w:hAnsi="Verdana"/>
          <w:sz w:val="20"/>
          <w:szCs w:val="20"/>
        </w:rPr>
        <w:t xml:space="preserve">Le </w:t>
      </w:r>
      <w:r w:rsidRPr="006E0900">
        <w:rPr>
          <w:rFonts w:ascii="Verdana" w:hAnsi="Verdana"/>
          <w:b/>
          <w:bCs/>
          <w:sz w:val="20"/>
          <w:szCs w:val="20"/>
        </w:rPr>
        <w:t>imprese guidate da stranieri</w:t>
      </w:r>
      <w:r w:rsidRPr="006E0900">
        <w:rPr>
          <w:rFonts w:ascii="Verdana" w:hAnsi="Verdana"/>
          <w:sz w:val="20"/>
          <w:szCs w:val="20"/>
        </w:rPr>
        <w:t xml:space="preserve"> sono cresciute del +3,3% nel 2019, superando le quattromila unità operative in provincia a fine anno (4.061), per un’incidenza sul tessuto imprenditoriale lucchese dell’11,2% (Toscana: 14,9%; Italia: 10,7%).</w:t>
      </w:r>
    </w:p>
    <w:p w14:paraId="70AB8C5C" w14:textId="28CE2979" w:rsidR="009B1C36" w:rsidRPr="006E0900" w:rsidRDefault="009B1C36" w:rsidP="009B1C36">
      <w:pPr>
        <w:pStyle w:val="Pidipagina"/>
        <w:tabs>
          <w:tab w:val="right" w:pos="9044"/>
        </w:tabs>
        <w:jc w:val="both"/>
        <w:rPr>
          <w:rFonts w:ascii="Verdana" w:hAnsi="Verdana"/>
          <w:sz w:val="20"/>
          <w:szCs w:val="20"/>
        </w:rPr>
      </w:pPr>
      <w:r w:rsidRPr="006E0900">
        <w:rPr>
          <w:rFonts w:ascii="Verdana" w:hAnsi="Verdana"/>
          <w:sz w:val="20"/>
          <w:szCs w:val="20"/>
        </w:rPr>
        <w:t>Dall’analisi</w:t>
      </w:r>
      <w:r w:rsidR="00766899" w:rsidRPr="006E0900">
        <w:rPr>
          <w:rFonts w:ascii="Verdana" w:hAnsi="Verdana"/>
          <w:sz w:val="20"/>
          <w:szCs w:val="20"/>
        </w:rPr>
        <w:t xml:space="preserve"> è possibile, infine, determinare il </w:t>
      </w:r>
      <w:r w:rsidRPr="006E0900">
        <w:rPr>
          <w:rFonts w:ascii="Verdana" w:hAnsi="Verdana"/>
          <w:b/>
          <w:bCs/>
          <w:sz w:val="20"/>
          <w:szCs w:val="20"/>
        </w:rPr>
        <w:t>tasso di sopravvivenza</w:t>
      </w:r>
      <w:r w:rsidR="00766899" w:rsidRPr="006E0900">
        <w:rPr>
          <w:rFonts w:ascii="Verdana" w:hAnsi="Verdana"/>
          <w:b/>
          <w:bCs/>
          <w:sz w:val="20"/>
          <w:szCs w:val="20"/>
        </w:rPr>
        <w:t xml:space="preserve"> delle imprese</w:t>
      </w:r>
      <w:r w:rsidR="00766899" w:rsidRPr="006E0900">
        <w:rPr>
          <w:rFonts w:ascii="Verdana" w:hAnsi="Verdana"/>
          <w:sz w:val="20"/>
          <w:szCs w:val="20"/>
        </w:rPr>
        <w:t xml:space="preserve">. </w:t>
      </w:r>
      <w:r w:rsidRPr="006E0900">
        <w:rPr>
          <w:rFonts w:ascii="Verdana" w:hAnsi="Verdana"/>
          <w:sz w:val="20"/>
          <w:szCs w:val="20"/>
        </w:rPr>
        <w:t>La quota di imprese nate nel corso del 2018 e ancora attive a fine 2019 si è attestata al 77,4%. Tale valore risulta poco più elevato rispetto all’analogo dato registrato per le iscritte nel 2017 (76,3%) e delle iscritte nel 2016 (77,2%) ancora operative a un anno di distanza. Il dato provinciale risulta in linea con la media nazionale (77,2% per le iscritte nel 2018) mentre quello toscano risulta più elevato (79,8%).</w:t>
      </w:r>
      <w:r w:rsidR="00766899" w:rsidRPr="006E0900">
        <w:rPr>
          <w:rFonts w:ascii="Verdana" w:hAnsi="Verdana"/>
          <w:sz w:val="20"/>
          <w:szCs w:val="20"/>
        </w:rPr>
        <w:t xml:space="preserve"> </w:t>
      </w:r>
      <w:r w:rsidRPr="006E0900">
        <w:rPr>
          <w:rFonts w:ascii="Verdana" w:hAnsi="Verdana"/>
          <w:sz w:val="20"/>
          <w:szCs w:val="20"/>
        </w:rPr>
        <w:t>La sopravvivenza media a due anni dalla nascita si attesta invece al 68,8% (per le iscritte nel 2017), mentre quella a tre anni scende al 64,2% (imprese iscritte nel 2016).</w:t>
      </w:r>
    </w:p>
    <w:p w14:paraId="408083F4" w14:textId="71CBA6AE" w:rsidR="009B1C36" w:rsidRDefault="00204A4B" w:rsidP="009B1C36">
      <w:pPr>
        <w:pStyle w:val="Pidipagina"/>
        <w:tabs>
          <w:tab w:val="right" w:pos="9044"/>
        </w:tabs>
        <w:jc w:val="both"/>
      </w:pPr>
      <w:r w:rsidRPr="006E0900">
        <w:rPr>
          <w:rFonts w:ascii="Verdana" w:hAnsi="Verdana"/>
          <w:sz w:val="20"/>
          <w:szCs w:val="20"/>
        </w:rPr>
        <w:t xml:space="preserve">Questi i principali dati sulla natalità e mortalità delle imprese risultante dal Registro delle imprese, diffusi dalla Camera di Commercio di Lucca sulla base di </w:t>
      </w:r>
      <w:proofErr w:type="spellStart"/>
      <w:r w:rsidRPr="006E0900">
        <w:rPr>
          <w:rFonts w:ascii="Verdana" w:hAnsi="Verdana"/>
          <w:sz w:val="20"/>
          <w:szCs w:val="20"/>
        </w:rPr>
        <w:t>Movimprese</w:t>
      </w:r>
      <w:proofErr w:type="spellEnd"/>
      <w:r w:rsidRPr="006E0900">
        <w:rPr>
          <w:rFonts w:ascii="Verdana" w:hAnsi="Verdana"/>
          <w:sz w:val="20"/>
          <w:szCs w:val="20"/>
        </w:rPr>
        <w:t>, la rilevazione trimestrale condotta da InfoCamere, la società delle Camere di Commercio italiane per l’innovazione digitale.</w:t>
      </w:r>
    </w:p>
    <w:tbl>
      <w:tblPr>
        <w:tblpPr w:leftFromText="141" w:rightFromText="141" w:vertAnchor="text" w:horzAnchor="margin" w:tblpY="60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9B1C36" w:rsidRPr="00912EDA" w14:paraId="328D3765" w14:textId="77777777" w:rsidTr="006E0900">
        <w:trPr>
          <w:trHeight w:val="683"/>
        </w:trPr>
        <w:tc>
          <w:tcPr>
            <w:tcW w:w="6015" w:type="dxa"/>
            <w:shd w:val="clear" w:color="auto" w:fill="auto"/>
          </w:tcPr>
          <w:p w14:paraId="4736195B" w14:textId="77777777" w:rsidR="009B1C36" w:rsidRPr="00912EDA" w:rsidRDefault="009B1C36" w:rsidP="006E0900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b/>
                <w:bCs/>
                <w:sz w:val="18"/>
                <w:szCs w:val="18"/>
              </w:rPr>
              <w:t>Ufficio Stampa – Relazioni Esterne</w:t>
            </w:r>
          </w:p>
          <w:p w14:paraId="017782B1" w14:textId="77777777" w:rsidR="009B1C36" w:rsidRPr="00912EDA" w:rsidRDefault="009B1C36" w:rsidP="006E0900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60DD707A" w14:textId="77777777" w:rsidR="009B1C36" w:rsidRPr="00912EDA" w:rsidRDefault="009B1C36" w:rsidP="006E0900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 xml:space="preserve">Tel. +39 0583 976.686 - </w:t>
            </w:r>
            <w:proofErr w:type="spellStart"/>
            <w:r w:rsidRPr="00912EDA">
              <w:rPr>
                <w:rFonts w:ascii="Verdana" w:hAnsi="Verdana"/>
                <w:sz w:val="18"/>
                <w:szCs w:val="18"/>
              </w:rPr>
              <w:t>cell</w:t>
            </w:r>
            <w:proofErr w:type="spellEnd"/>
            <w:r w:rsidRPr="00912EDA">
              <w:rPr>
                <w:rFonts w:ascii="Verdana" w:hAnsi="Verdana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2A30F0A8" w14:textId="77777777" w:rsidR="009B1C36" w:rsidRPr="00912EDA" w:rsidRDefault="009B1C36" w:rsidP="006E0900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E92F9C7" wp14:editId="17852A33">
                  <wp:extent cx="219075" cy="219075"/>
                  <wp:effectExtent l="0" t="0" r="0" b="0"/>
                  <wp:docPr id="2" name="Immagin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AB0B75F" wp14:editId="1877B758">
                  <wp:extent cx="228600" cy="228600"/>
                  <wp:effectExtent l="0" t="0" r="0" b="0"/>
                  <wp:docPr id="3" name="Immagin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43C159CD" wp14:editId="6B9ED51A">
                  <wp:extent cx="228600" cy="228600"/>
                  <wp:effectExtent l="0" t="0" r="0" b="0"/>
                  <wp:docPr id="4" name="Immagin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1" t="-581" r="-581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47623929" wp14:editId="1E37B755">
                  <wp:extent cx="428625" cy="228600"/>
                  <wp:effectExtent l="0" t="0" r="0" b="0"/>
                  <wp:docPr id="5" name="Immagin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7" t="-775" r="-417" b="-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83B30D" w14:textId="77777777" w:rsidR="00050361" w:rsidRPr="00050361" w:rsidRDefault="00050361" w:rsidP="00050361">
      <w:pPr>
        <w:pStyle w:val="Rientrocorpodeltesto"/>
        <w:ind w:firstLine="0"/>
        <w:rPr>
          <w:rFonts w:cs="Verdana"/>
          <w:i w:val="0"/>
          <w:iCs w:val="0"/>
        </w:rPr>
      </w:pPr>
    </w:p>
    <w:sectPr w:rsidR="00050361" w:rsidRPr="00050361">
      <w:headerReference w:type="default" r:id="rId15"/>
      <w:footerReference w:type="default" r:id="rId16"/>
      <w:footnotePr>
        <w:pos w:val="beneathText"/>
      </w:footnotePr>
      <w:pgSz w:w="11906" w:h="16838"/>
      <w:pgMar w:top="1985" w:right="1134" w:bottom="1418" w:left="1134" w:header="708" w:footer="3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D2E7D" w14:textId="77777777" w:rsidR="001B23F6" w:rsidRDefault="00050361">
      <w:r>
        <w:separator/>
      </w:r>
    </w:p>
  </w:endnote>
  <w:endnote w:type="continuationSeparator" w:id="0">
    <w:p w14:paraId="088ADBC5" w14:textId="77777777" w:rsidR="001B23F6" w:rsidRDefault="0005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986E" w14:textId="77777777" w:rsidR="001B23F6" w:rsidRDefault="00050361">
    <w:pPr>
      <w:jc w:val="center"/>
      <w:rPr>
        <w:rFonts w:ascii="Arial Narrow" w:hAnsi="Arial Narrow" w:cs="Arial Narrow"/>
        <w:color w:val="A09289"/>
        <w:sz w:val="16"/>
      </w:rPr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287178AC" w14:textId="77777777" w:rsidR="001B23F6" w:rsidRDefault="00050361">
    <w:pPr>
      <w:ind w:left="851"/>
      <w:jc w:val="center"/>
      <w:rPr>
        <w:lang w:val="en-GB"/>
      </w:rPr>
    </w:pPr>
    <w:proofErr w:type="gramStart"/>
    <w:r>
      <w:rPr>
        <w:rFonts w:ascii="Arial Narrow" w:hAnsi="Arial Narrow" w:cs="Arial Narrow"/>
        <w:color w:val="A09289"/>
        <w:sz w:val="16"/>
        <w:lang w:val="en-GB"/>
      </w:rPr>
      <w:t>cameracommercio@lu.camcom.it  -</w:t>
    </w:r>
    <w:proofErr w:type="gramEnd"/>
    <w:r>
      <w:rPr>
        <w:rFonts w:ascii="Arial Narrow" w:hAnsi="Arial Narrow" w:cs="Arial Narrow"/>
        <w:color w:val="A09289"/>
        <w:sz w:val="16"/>
        <w:lang w:val="en-GB"/>
      </w:rPr>
      <w:t xml:space="preserve"> </w:t>
    </w:r>
    <w:proofErr w:type="spellStart"/>
    <w:r>
      <w:rPr>
        <w:rFonts w:ascii="Arial Narrow" w:hAnsi="Arial Narrow" w:cs="Arial Narrow"/>
        <w:color w:val="A09289"/>
        <w:sz w:val="16"/>
        <w:lang w:val="en-GB"/>
      </w:rPr>
      <w:t>p.e.c</w:t>
    </w:r>
    <w:proofErr w:type="spellEnd"/>
    <w:r>
      <w:rPr>
        <w:rFonts w:ascii="Arial Narrow" w:hAnsi="Arial Narrow" w:cs="Arial Narrow"/>
        <w:color w:val="A09289"/>
        <w:sz w:val="16"/>
        <w:lang w:val="en-GB"/>
      </w:rPr>
      <w:t>. camera.commercio.lucca@lu.legalmail.camcom.it - www.lu.camcom.it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980F2" w14:textId="77777777" w:rsidR="001B23F6" w:rsidRDefault="00050361">
      <w:r>
        <w:separator/>
      </w:r>
    </w:p>
  </w:footnote>
  <w:footnote w:type="continuationSeparator" w:id="0">
    <w:p w14:paraId="1A07B736" w14:textId="77777777" w:rsidR="001B23F6" w:rsidRDefault="0005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F26E9" w14:textId="4AF7FF30" w:rsidR="001B23F6" w:rsidRDefault="006A3638">
    <w:pPr>
      <w:pStyle w:val="Intestazione"/>
      <w:rPr>
        <w:rFonts w:ascii="Verdana" w:hAnsi="Verdana" w:cs="Verdana"/>
        <w:color w:val="808080"/>
        <w:spacing w:val="20"/>
        <w:kern w:val="1"/>
        <w:sz w:val="36"/>
        <w:lang w:val="pt-PT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113CF6D" wp14:editId="70320BB5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78025" cy="537845"/>
          <wp:effectExtent l="0" t="0" r="0" b="0"/>
          <wp:wrapTight wrapText="bothSides">
            <wp:wrapPolygon edited="0">
              <wp:start x="0" y="0"/>
              <wp:lineTo x="0" y="20656"/>
              <wp:lineTo x="21427" y="20656"/>
              <wp:lineTo x="21427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37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361">
      <w:rPr>
        <w:rFonts w:ascii="Verdana" w:eastAsia="Verdana" w:hAnsi="Verdana" w:cs="Verdana"/>
        <w:color w:val="808080"/>
        <w:spacing w:val="20"/>
        <w:kern w:val="1"/>
        <w:sz w:val="36"/>
        <w:lang w:val="pt-PT"/>
      </w:rPr>
      <w:t xml:space="preserve"> </w:t>
    </w:r>
    <w:r w:rsidR="00050361"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 w:rsidR="00050361"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 w:rsidR="00050361">
      <w:rPr>
        <w:rFonts w:ascii="Verdana" w:hAnsi="Verdana" w:cs="Verdana"/>
        <w:color w:val="808080"/>
        <w:spacing w:val="20"/>
        <w:kern w:val="1"/>
        <w:sz w:val="36"/>
        <w:lang w:val="pt-PT"/>
      </w:rPr>
      <w:t>comunicato stampa</w:t>
    </w:r>
  </w:p>
  <w:p w14:paraId="23B492A3" w14:textId="77777777" w:rsidR="001B23F6" w:rsidRDefault="001B23F6">
    <w:pPr>
      <w:pStyle w:val="Intestazione"/>
      <w:rPr>
        <w:rFonts w:ascii="Verdana" w:hAnsi="Verdana" w:cs="Verdana"/>
        <w:color w:val="808080"/>
        <w:spacing w:val="20"/>
        <w:kern w:val="1"/>
        <w:sz w:val="36"/>
        <w:lang w:val="pt-PT"/>
      </w:rPr>
    </w:pPr>
  </w:p>
  <w:p w14:paraId="616A3075" w14:textId="77777777" w:rsidR="001B23F6" w:rsidRDefault="00050361">
    <w:pPr>
      <w:pStyle w:val="Intestazione"/>
    </w:pP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D7292"/>
    <w:multiLevelType w:val="hybridMultilevel"/>
    <w:tmpl w:val="5112B972"/>
    <w:lvl w:ilvl="0" w:tplc="A0C40BF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38"/>
    <w:rsid w:val="00050361"/>
    <w:rsid w:val="001B23F6"/>
    <w:rsid w:val="00204A4B"/>
    <w:rsid w:val="002F4892"/>
    <w:rsid w:val="003D12D6"/>
    <w:rsid w:val="005F300D"/>
    <w:rsid w:val="00642A78"/>
    <w:rsid w:val="006A1FD2"/>
    <w:rsid w:val="006A3638"/>
    <w:rsid w:val="006E0900"/>
    <w:rsid w:val="00766899"/>
    <w:rsid w:val="007F589D"/>
    <w:rsid w:val="00916C62"/>
    <w:rsid w:val="009606EF"/>
    <w:rsid w:val="009B1C36"/>
    <w:rsid w:val="009C01F8"/>
    <w:rsid w:val="009E5119"/>
    <w:rsid w:val="00A03B5B"/>
    <w:rsid w:val="00B7599F"/>
    <w:rsid w:val="00C3562A"/>
    <w:rsid w:val="00CD4050"/>
    <w:rsid w:val="00D94A96"/>
    <w:rsid w:val="00F372FA"/>
    <w:rsid w:val="00F637DC"/>
    <w:rsid w:val="00F9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04F142C"/>
  <w15:chartTrackingRefBased/>
  <w15:docId w15:val="{CD1A121E-F404-4E85-A509-2B6818E9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next w:val="Corpotesto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hAnsi="Verdan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Verdana" w:hAnsi="Verdana"/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Verdana" w:hAnsi="Verdana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rFonts w:ascii="Verdana" w:hAnsi="Verdana" w:cs="Verdana"/>
      <w:sz w:val="2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MS Mincho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-Caratterepredefinitoparagrafo">
    <w:name w:val="WW-Carattere predefinito 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filtrilabel">
    <w:name w:val="filtrilabel"/>
    <w:basedOn w:val="WW-Caratterepredefinitoparagrafo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styleId="Enfasicorsivo">
    <w:name w:val="Emphasis"/>
    <w:qFormat/>
    <w:rPr>
      <w:i/>
      <w:iCs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semiHidden/>
    <w:pPr>
      <w:spacing w:before="280" w:after="280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</w:style>
  <w:style w:type="paragraph" w:styleId="Corpodeltesto3">
    <w:name w:val="Body Text 3"/>
    <w:basedOn w:val="Normale"/>
    <w:semiHidden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pPr>
      <w:spacing w:before="280" w:after="280"/>
    </w:pPr>
    <w:rPr>
      <w:rFonts w:eastAsia="Times New Roman"/>
    </w:rPr>
  </w:style>
  <w:style w:type="character" w:customStyle="1" w:styleId="apple-converted-space">
    <w:name w:val="apple-converted-space"/>
    <w:basedOn w:val="Carpredefinitoparagrafo"/>
  </w:style>
  <w:style w:type="character" w:customStyle="1" w:styleId="mk-love-count">
    <w:name w:val="mk-love-count"/>
    <w:basedOn w:val="Carpredefinitoparagrafo"/>
  </w:style>
  <w:style w:type="paragraph" w:styleId="Rientrocorpodeltesto">
    <w:name w:val="Body Text Indent"/>
    <w:basedOn w:val="Normale"/>
    <w:semiHidden/>
    <w:pPr>
      <w:spacing w:line="276" w:lineRule="auto"/>
      <w:ind w:firstLine="706"/>
      <w:jc w:val="both"/>
    </w:pPr>
    <w:rPr>
      <w:rFonts w:ascii="Verdana" w:hAnsi="Verdana"/>
      <w:i/>
      <w:iCs/>
      <w:sz w:val="22"/>
      <w:szCs w:val="20"/>
    </w:rPr>
  </w:style>
  <w:style w:type="character" w:customStyle="1" w:styleId="element-invisible">
    <w:name w:val="element-invisible"/>
    <w:basedOn w:val="Carpredefinitoparagrafo"/>
  </w:style>
  <w:style w:type="paragraph" w:customStyle="1" w:styleId="Contenutotabella">
    <w:name w:val="Contenuto tabella"/>
    <w:basedOn w:val="Normale"/>
    <w:rsid w:val="00050361"/>
    <w:pPr>
      <w:suppressLineNumbers/>
    </w:pPr>
    <w:rPr>
      <w:rFonts w:ascii="Arial" w:eastAsia="Times New Roman" w:hAnsi="Arial"/>
      <w:kern w:val="2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361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rsid w:val="00B7599F"/>
    <w:rPr>
      <w:rFonts w:eastAsia="MS Mincho"/>
      <w:sz w:val="24"/>
      <w:szCs w:val="24"/>
      <w:lang w:eastAsia="ar-SA"/>
    </w:rPr>
  </w:style>
  <w:style w:type="paragraph" w:customStyle="1" w:styleId="Body1">
    <w:name w:val="Body 1"/>
    <w:rsid w:val="002F4892"/>
    <w:pPr>
      <w:suppressAutoHyphens/>
    </w:pPr>
    <w:rPr>
      <w:rFonts w:ascii="Helvetica" w:eastAsia="Arial Unicode MS" w:hAnsi="Helvetica"/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>CCIAA di Lucca</Company>
  <LinksUpToDate>false</LinksUpToDate>
  <CharactersWithSpaces>3928</CharactersWithSpaces>
  <SharedDoc>false</SharedDoc>
  <HLinks>
    <vt:vector size="12" baseType="variant"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mailto:segreteria.generale@lu.camcom.it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http://www.lu.camcom.it/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cp:keywords/>
  <cp:lastModifiedBy>Ufficio Relazione Esterne</cp:lastModifiedBy>
  <cp:revision>11</cp:revision>
  <cp:lastPrinted>2017-12-13T11:25:00Z</cp:lastPrinted>
  <dcterms:created xsi:type="dcterms:W3CDTF">2020-02-06T10:28:00Z</dcterms:created>
  <dcterms:modified xsi:type="dcterms:W3CDTF">2020-02-07T12:04:00Z</dcterms:modified>
</cp:coreProperties>
</file>